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D7BAF" w14:textId="77777777" w:rsidR="008904F2" w:rsidRPr="008904F2" w:rsidRDefault="008904F2" w:rsidP="008904F2">
      <w:pPr>
        <w:jc w:val="center"/>
        <w:rPr>
          <w:rFonts w:ascii="Calibri" w:eastAsia="Calibri" w:hAnsi="Calibri" w:cs="Arial"/>
        </w:rPr>
      </w:pPr>
      <w:r w:rsidRPr="008904F2">
        <w:rPr>
          <w:rFonts w:ascii="Calibri" w:eastAsia="Calibri" w:hAnsi="Calibri" w:cs="Arial"/>
          <w:noProof/>
        </w:rPr>
        <w:drawing>
          <wp:inline distT="0" distB="0" distL="0" distR="0" wp14:anchorId="0A6B2D79" wp14:editId="4CBC41D7">
            <wp:extent cx="3343275" cy="1413728"/>
            <wp:effectExtent l="0" t="0" r="0" b="0"/>
            <wp:docPr id="6"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3376242" cy="1427668"/>
                    </a:xfrm>
                    <a:prstGeom prst="rect">
                      <a:avLst/>
                    </a:prstGeom>
                  </pic:spPr>
                </pic:pic>
              </a:graphicData>
            </a:graphic>
          </wp:inline>
        </w:drawing>
      </w:r>
    </w:p>
    <w:p w14:paraId="244ED9CB" w14:textId="77777777" w:rsidR="008904F2" w:rsidRPr="008904F2" w:rsidRDefault="008904F2" w:rsidP="008904F2">
      <w:pPr>
        <w:rPr>
          <w:rFonts w:ascii="Calibri" w:eastAsia="Calibri" w:hAnsi="Calibri" w:cs="Arial"/>
        </w:rPr>
      </w:pPr>
    </w:p>
    <w:p w14:paraId="000605D6" w14:textId="77777777" w:rsidR="008904F2" w:rsidRPr="008904F2" w:rsidRDefault="008904F2" w:rsidP="008904F2">
      <w:pPr>
        <w:jc w:val="center"/>
        <w:rPr>
          <w:rFonts w:ascii="Calibri" w:eastAsia="Calibri" w:hAnsi="Calibri" w:cs="Arial"/>
          <w:b/>
          <w:bCs/>
          <w:sz w:val="48"/>
          <w:szCs w:val="48"/>
          <w:lang w:val="tr-TR"/>
        </w:rPr>
      </w:pPr>
      <w:r w:rsidRPr="008904F2">
        <w:rPr>
          <w:rFonts w:ascii="Calibri" w:eastAsia="Calibri" w:hAnsi="Calibri" w:cs="Arial"/>
          <w:b/>
          <w:bCs/>
          <w:sz w:val="48"/>
          <w:szCs w:val="48"/>
          <w:rtl/>
          <w:lang w:val="tr-TR"/>
        </w:rPr>
        <w:t>هيئة المناطق الحرة</w:t>
      </w:r>
      <w:r w:rsidRPr="008904F2">
        <w:rPr>
          <w:rFonts w:ascii="Calibri" w:eastAsia="Calibri" w:hAnsi="Calibri" w:cs="Arial" w:hint="cs"/>
          <w:b/>
          <w:bCs/>
          <w:sz w:val="48"/>
          <w:szCs w:val="48"/>
          <w:rtl/>
          <w:lang w:val="tr-TR"/>
        </w:rPr>
        <w:t xml:space="preserve"> -</w:t>
      </w:r>
      <w:r w:rsidRPr="008904F2">
        <w:rPr>
          <w:rFonts w:ascii="Calibri" w:eastAsia="Calibri" w:hAnsi="Calibri" w:cs="Arial"/>
          <w:b/>
          <w:bCs/>
          <w:sz w:val="48"/>
          <w:szCs w:val="48"/>
          <w:rtl/>
          <w:lang w:val="tr-TR"/>
        </w:rPr>
        <w:t xml:space="preserve"> دولة قطر</w:t>
      </w:r>
    </w:p>
    <w:p w14:paraId="021A81FE" w14:textId="77777777" w:rsidR="008904F2" w:rsidRPr="008904F2" w:rsidRDefault="008904F2" w:rsidP="008904F2">
      <w:pPr>
        <w:jc w:val="center"/>
        <w:rPr>
          <w:rFonts w:ascii="Calibri" w:eastAsia="Calibri" w:hAnsi="Calibri" w:cs="Arial"/>
          <w:b/>
          <w:bCs/>
          <w:sz w:val="44"/>
          <w:szCs w:val="44"/>
          <w:lang w:val="tr-TR"/>
        </w:rPr>
      </w:pPr>
      <w:r w:rsidRPr="008904F2">
        <w:rPr>
          <w:rFonts w:ascii="Calibri" w:eastAsia="Calibri" w:hAnsi="Calibri" w:cs="Arial"/>
          <w:b/>
          <w:bCs/>
          <w:sz w:val="44"/>
          <w:szCs w:val="44"/>
          <w:lang w:val="tr-TR"/>
        </w:rPr>
        <w:t>FREE ZONES AUTHORITY-STATE OF QATAR</w:t>
      </w:r>
    </w:p>
    <w:p w14:paraId="4DF996EF" w14:textId="77777777" w:rsidR="008904F2" w:rsidRPr="008904F2" w:rsidRDefault="008904F2" w:rsidP="008904F2">
      <w:pPr>
        <w:jc w:val="center"/>
        <w:rPr>
          <w:rFonts w:ascii="Calibri" w:eastAsia="Calibri" w:hAnsi="Calibri" w:cs="Arial"/>
          <w:b/>
          <w:bCs/>
          <w:sz w:val="40"/>
          <w:szCs w:val="40"/>
          <w:lang w:val="tr-TR"/>
        </w:rPr>
      </w:pPr>
    </w:p>
    <w:p w14:paraId="7B203604" w14:textId="77EF954D" w:rsidR="008904F2" w:rsidRPr="008904F2" w:rsidRDefault="008904F2" w:rsidP="008904F2">
      <w:pPr>
        <w:jc w:val="center"/>
        <w:rPr>
          <w:rFonts w:ascii="Calibri" w:eastAsia="Calibri" w:hAnsi="Calibri" w:cs="Arial"/>
          <w:b/>
          <w:bCs/>
          <w:sz w:val="56"/>
          <w:szCs w:val="56"/>
          <w:lang w:val="tr-TR"/>
        </w:rPr>
      </w:pPr>
      <w:r w:rsidRPr="008904F2">
        <w:rPr>
          <w:rFonts w:ascii="Calibri" w:eastAsia="Calibri" w:hAnsi="Calibri" w:cs="Arial"/>
          <w:b/>
          <w:bCs/>
          <w:sz w:val="56"/>
          <w:szCs w:val="56"/>
          <w:lang w:val="tr-TR"/>
        </w:rPr>
        <w:t xml:space="preserve">Regulations Amending Certain Provisions of </w:t>
      </w:r>
      <w:r w:rsidR="00A64D4B">
        <w:rPr>
          <w:rFonts w:ascii="Calibri" w:eastAsia="Calibri" w:hAnsi="Calibri" w:cs="Arial"/>
          <w:b/>
          <w:bCs/>
          <w:sz w:val="56"/>
          <w:szCs w:val="56"/>
          <w:lang w:val="tr-TR"/>
        </w:rPr>
        <w:t>Licensing</w:t>
      </w:r>
      <w:r w:rsidRPr="008904F2">
        <w:rPr>
          <w:rFonts w:ascii="Calibri" w:eastAsia="Calibri" w:hAnsi="Calibri" w:cs="Arial"/>
          <w:b/>
          <w:bCs/>
          <w:sz w:val="56"/>
          <w:szCs w:val="56"/>
          <w:lang w:val="tr-TR"/>
        </w:rPr>
        <w:t xml:space="preserve"> Regulations</w:t>
      </w:r>
    </w:p>
    <w:p w14:paraId="1DC5345C" w14:textId="77777777" w:rsidR="008904F2" w:rsidRPr="008904F2" w:rsidRDefault="008904F2" w:rsidP="008904F2">
      <w:pPr>
        <w:jc w:val="center"/>
        <w:rPr>
          <w:rFonts w:ascii="Calibri" w:eastAsia="Calibri" w:hAnsi="Calibri" w:cs="Arial"/>
          <w:b/>
          <w:bCs/>
          <w:sz w:val="56"/>
          <w:szCs w:val="56"/>
          <w:lang w:val="tr-TR"/>
        </w:rPr>
      </w:pPr>
    </w:p>
    <w:p w14:paraId="31767F78" w14:textId="77777777" w:rsidR="008904F2" w:rsidRPr="008904F2" w:rsidRDefault="008904F2" w:rsidP="008904F2">
      <w:pPr>
        <w:ind w:left="2160"/>
        <w:rPr>
          <w:rFonts w:ascii="Calibri" w:eastAsia="Calibri" w:hAnsi="Calibri" w:cs="Arial"/>
          <w:sz w:val="28"/>
          <w:szCs w:val="28"/>
          <w:lang w:val="tr-TR"/>
        </w:rPr>
      </w:pPr>
      <w:r w:rsidRPr="008904F2">
        <w:rPr>
          <w:rFonts w:ascii="Calibri" w:eastAsia="Calibri" w:hAnsi="Calibri" w:cs="Arial"/>
          <w:sz w:val="28"/>
          <w:szCs w:val="28"/>
          <w:lang w:val="tr-TR"/>
        </w:rPr>
        <w:t>Issued on</w:t>
      </w:r>
      <w:r w:rsidRPr="00394809">
        <w:rPr>
          <w:rFonts w:ascii="Calibri" w:eastAsia="Calibri" w:hAnsi="Calibri" w:cs="Arial"/>
          <w:sz w:val="28"/>
          <w:szCs w:val="28"/>
          <w:highlight w:val="yellow"/>
          <w:lang w:val="tr-TR"/>
        </w:rPr>
        <w:t>: ............................</w:t>
      </w:r>
    </w:p>
    <w:p w14:paraId="2A04F477" w14:textId="77777777" w:rsidR="008904F2" w:rsidRPr="008904F2" w:rsidRDefault="008904F2" w:rsidP="008904F2">
      <w:pPr>
        <w:ind w:left="2160"/>
        <w:rPr>
          <w:rFonts w:ascii="Calibri" w:eastAsia="Calibri" w:hAnsi="Calibri" w:cs="Arial"/>
          <w:sz w:val="28"/>
          <w:szCs w:val="28"/>
          <w:lang w:val="tr-TR"/>
        </w:rPr>
      </w:pPr>
    </w:p>
    <w:p w14:paraId="1B2332DA" w14:textId="77777777" w:rsidR="008904F2" w:rsidRPr="008904F2" w:rsidRDefault="008904F2" w:rsidP="008904F2">
      <w:pPr>
        <w:jc w:val="center"/>
        <w:rPr>
          <w:rFonts w:ascii="Times New Roman" w:eastAsia="Calibri" w:hAnsi="Times New Roman" w:cs="Times New Roman"/>
          <w:sz w:val="28"/>
          <w:szCs w:val="28"/>
        </w:rPr>
      </w:pPr>
    </w:p>
    <w:p w14:paraId="3062A2D3" w14:textId="77777777" w:rsidR="008904F2" w:rsidRPr="008904F2" w:rsidRDefault="008904F2" w:rsidP="008904F2">
      <w:pPr>
        <w:jc w:val="center"/>
        <w:rPr>
          <w:rFonts w:ascii="Times New Roman" w:eastAsia="Calibri" w:hAnsi="Times New Roman" w:cs="Times New Roman"/>
          <w:sz w:val="28"/>
          <w:szCs w:val="28"/>
        </w:rPr>
      </w:pPr>
    </w:p>
    <w:p w14:paraId="530D3305" w14:textId="77777777" w:rsidR="008904F2" w:rsidRPr="008904F2" w:rsidRDefault="008904F2" w:rsidP="008904F2">
      <w:pPr>
        <w:jc w:val="center"/>
        <w:rPr>
          <w:rFonts w:ascii="Times New Roman" w:eastAsia="Calibri" w:hAnsi="Times New Roman" w:cs="Times New Roman"/>
          <w:sz w:val="28"/>
          <w:szCs w:val="28"/>
        </w:rPr>
      </w:pPr>
    </w:p>
    <w:p w14:paraId="3C6B33C3" w14:textId="77777777" w:rsidR="008904F2" w:rsidRPr="008904F2" w:rsidRDefault="008904F2" w:rsidP="008904F2">
      <w:pPr>
        <w:jc w:val="center"/>
        <w:rPr>
          <w:rFonts w:ascii="Times New Roman" w:eastAsia="Calibri" w:hAnsi="Times New Roman" w:cs="Times New Roman"/>
          <w:sz w:val="28"/>
          <w:szCs w:val="28"/>
        </w:rPr>
      </w:pPr>
    </w:p>
    <w:p w14:paraId="77AD9DB9" w14:textId="77777777" w:rsidR="008904F2" w:rsidRPr="008904F2" w:rsidRDefault="008904F2" w:rsidP="008904F2">
      <w:pPr>
        <w:jc w:val="center"/>
        <w:rPr>
          <w:rFonts w:ascii="Times New Roman" w:eastAsia="Calibri" w:hAnsi="Times New Roman" w:cs="Times New Roman"/>
          <w:sz w:val="28"/>
          <w:szCs w:val="28"/>
        </w:rPr>
      </w:pPr>
    </w:p>
    <w:p w14:paraId="5A88B2E6" w14:textId="77777777" w:rsidR="008904F2" w:rsidRPr="008904F2" w:rsidRDefault="008904F2" w:rsidP="008904F2">
      <w:pPr>
        <w:jc w:val="center"/>
        <w:rPr>
          <w:rFonts w:ascii="Times New Roman" w:eastAsia="Calibri" w:hAnsi="Times New Roman" w:cs="Times New Roman"/>
          <w:sz w:val="28"/>
          <w:szCs w:val="28"/>
        </w:rPr>
      </w:pPr>
    </w:p>
    <w:p w14:paraId="49440296" w14:textId="77777777" w:rsidR="008904F2" w:rsidRPr="008904F2" w:rsidRDefault="008904F2" w:rsidP="008904F2">
      <w:pPr>
        <w:jc w:val="center"/>
        <w:rPr>
          <w:rFonts w:ascii="Times New Roman" w:eastAsia="Calibri" w:hAnsi="Times New Roman" w:cs="Times New Roman"/>
          <w:sz w:val="28"/>
          <w:szCs w:val="28"/>
        </w:rPr>
      </w:pPr>
    </w:p>
    <w:p w14:paraId="512416F2" w14:textId="77777777" w:rsidR="008904F2" w:rsidRPr="008904F2" w:rsidRDefault="008904F2" w:rsidP="008904F2">
      <w:pPr>
        <w:jc w:val="center"/>
        <w:rPr>
          <w:rFonts w:ascii="Times New Roman" w:eastAsia="Calibri" w:hAnsi="Times New Roman" w:cs="Times New Roman"/>
          <w:sz w:val="28"/>
          <w:szCs w:val="28"/>
        </w:rPr>
      </w:pPr>
    </w:p>
    <w:p w14:paraId="709135AD" w14:textId="1E6EFE15" w:rsidR="008904F2" w:rsidRPr="008904F2" w:rsidRDefault="008904F2" w:rsidP="008904F2">
      <w:pPr>
        <w:jc w:val="center"/>
        <w:rPr>
          <w:b/>
          <w:bCs/>
          <w:sz w:val="28"/>
          <w:szCs w:val="28"/>
        </w:rPr>
      </w:pPr>
      <w:r w:rsidRPr="008904F2">
        <w:rPr>
          <w:b/>
          <w:bCs/>
          <w:sz w:val="28"/>
          <w:szCs w:val="28"/>
        </w:rPr>
        <w:lastRenderedPageBreak/>
        <w:t xml:space="preserve">Regulations Amending Certain Provisions of </w:t>
      </w:r>
      <w:r w:rsidR="00A64D4B">
        <w:rPr>
          <w:b/>
          <w:bCs/>
          <w:sz w:val="28"/>
          <w:szCs w:val="28"/>
        </w:rPr>
        <w:t>Licensing</w:t>
      </w:r>
      <w:r w:rsidRPr="008904F2">
        <w:rPr>
          <w:b/>
          <w:bCs/>
          <w:sz w:val="28"/>
          <w:szCs w:val="28"/>
        </w:rPr>
        <w:t xml:space="preserve"> Regulations</w:t>
      </w:r>
    </w:p>
    <w:p w14:paraId="0DC5200B" w14:textId="77777777" w:rsidR="008904F2" w:rsidRPr="008904F2" w:rsidRDefault="008904F2" w:rsidP="008904F2"/>
    <w:p w14:paraId="5E6AF294" w14:textId="77777777" w:rsidR="008904F2" w:rsidRPr="008904F2" w:rsidRDefault="008904F2" w:rsidP="008904F2">
      <w:pPr>
        <w:rPr>
          <w:b/>
          <w:bCs/>
        </w:rPr>
      </w:pPr>
      <w:r w:rsidRPr="008904F2">
        <w:rPr>
          <w:b/>
          <w:bCs/>
        </w:rPr>
        <w:t>Article 1</w:t>
      </w:r>
    </w:p>
    <w:p w14:paraId="47E8F487" w14:textId="157A01B3" w:rsidR="008904F2" w:rsidRPr="008904F2" w:rsidRDefault="008904F2" w:rsidP="008904F2">
      <w:r w:rsidRPr="008904F2">
        <w:t xml:space="preserve">The definitions of Schedule of Fees and Schedule of Sanctions provided for in Article 2 of </w:t>
      </w:r>
      <w:r w:rsidR="00A64D4B" w:rsidRPr="00A64D4B">
        <w:t>Licensing</w:t>
      </w:r>
      <w:r w:rsidRPr="008904F2">
        <w:t xml:space="preserve"> Regulations, as referred to herein, are to be replaced with the following definitions:</w:t>
      </w:r>
    </w:p>
    <w:p w14:paraId="4EF9B3F0" w14:textId="77777777" w:rsidR="008904F2" w:rsidRPr="008904F2" w:rsidRDefault="008904F2" w:rsidP="008904F2">
      <w:r w:rsidRPr="008904F2">
        <w:t>“</w:t>
      </w:r>
      <w:r w:rsidRPr="008904F2">
        <w:rPr>
          <w:b/>
          <w:bCs/>
        </w:rPr>
        <w:t>Schedule of Fees:</w:t>
      </w:r>
      <w:r w:rsidRPr="008904F2">
        <w:t xml:space="preserve"> the schedule of fees set out in Schedule 1 of these Regulations as issued and updated from time to time by the Authority.”</w:t>
      </w:r>
    </w:p>
    <w:p w14:paraId="5C78D04F" w14:textId="77777777" w:rsidR="008904F2" w:rsidRPr="008904F2" w:rsidRDefault="008904F2" w:rsidP="008904F2">
      <w:r w:rsidRPr="008904F2">
        <w:rPr>
          <w:b/>
          <w:bCs/>
        </w:rPr>
        <w:t>“Schedule of Sanctions</w:t>
      </w:r>
      <w:r w:rsidRPr="008904F2">
        <w:t xml:space="preserve">: the schedule of sanctions set out in Schedule 2 of these Regulations as issued and updated from time to time by the Authority.” </w:t>
      </w:r>
    </w:p>
    <w:p w14:paraId="21DC438A" w14:textId="77777777" w:rsidR="008904F2" w:rsidRPr="008904F2" w:rsidRDefault="008904F2" w:rsidP="008904F2">
      <w:pPr>
        <w:rPr>
          <w:b/>
          <w:bCs/>
        </w:rPr>
      </w:pPr>
      <w:r w:rsidRPr="008904F2">
        <w:rPr>
          <w:b/>
          <w:bCs/>
        </w:rPr>
        <w:t>Article 2</w:t>
      </w:r>
    </w:p>
    <w:p w14:paraId="1A17BAA2" w14:textId="502DEEA7" w:rsidR="008904F2" w:rsidRPr="008904F2" w:rsidRDefault="008904F2" w:rsidP="008904F2">
      <w:r w:rsidRPr="008904F2">
        <w:t xml:space="preserve">The provisions of Articles </w:t>
      </w:r>
      <w:r w:rsidR="00A64D4B">
        <w:t>19</w:t>
      </w:r>
      <w:r w:rsidRPr="008904F2">
        <w:t xml:space="preserve"> and </w:t>
      </w:r>
      <w:r w:rsidR="00A64D4B">
        <w:t>20</w:t>
      </w:r>
      <w:r w:rsidRPr="008904F2">
        <w:t xml:space="preserve"> of the </w:t>
      </w:r>
      <w:r w:rsidR="00A64D4B" w:rsidRPr="00A64D4B">
        <w:t>Licensing</w:t>
      </w:r>
      <w:r w:rsidRPr="008904F2">
        <w:t xml:space="preserve"> Regulations, as referred to herein, are to be replaced with the following provisions:</w:t>
      </w:r>
    </w:p>
    <w:p w14:paraId="1B5FA6DB" w14:textId="5EBC0B19" w:rsidR="008904F2" w:rsidRPr="008904F2" w:rsidRDefault="008904F2" w:rsidP="008904F2">
      <w:r w:rsidRPr="008904F2">
        <w:t xml:space="preserve">“Article </w:t>
      </w:r>
      <w:r w:rsidR="00A64D4B" w:rsidRPr="00A64D4B">
        <w:t>19</w:t>
      </w:r>
      <w:r w:rsidRPr="008904F2">
        <w:t xml:space="preserve"> - Fees</w:t>
      </w:r>
    </w:p>
    <w:p w14:paraId="3F90D668" w14:textId="77777777" w:rsidR="008904F2" w:rsidRPr="008904F2" w:rsidRDefault="008904F2" w:rsidP="008904F2">
      <w:r w:rsidRPr="008904F2">
        <w:t>(1)</w:t>
      </w:r>
      <w:r w:rsidRPr="008904F2">
        <w:tab/>
        <w:t>The Free Zone Entity must pay any fees due to the Authority as set out in Schedule 1 immediately upon the fee becoming due.</w:t>
      </w:r>
      <w:r w:rsidRPr="008904F2">
        <w:tab/>
      </w:r>
    </w:p>
    <w:p w14:paraId="327E2C1F" w14:textId="77777777" w:rsidR="008904F2" w:rsidRPr="008904F2" w:rsidRDefault="008904F2" w:rsidP="008904F2">
      <w:r w:rsidRPr="008904F2">
        <w:t>(2)</w:t>
      </w:r>
      <w:r w:rsidRPr="008904F2">
        <w:tab/>
        <w:t>Fees paid to the Authority are not refundable.”</w:t>
      </w:r>
    </w:p>
    <w:p w14:paraId="2D6F8106" w14:textId="18DD6296" w:rsidR="008904F2" w:rsidRPr="008904F2" w:rsidRDefault="008904F2" w:rsidP="008904F2">
      <w:r w:rsidRPr="008904F2">
        <w:t xml:space="preserve">“Article </w:t>
      </w:r>
      <w:r w:rsidR="00A64D4B" w:rsidRPr="00A64D4B">
        <w:t>20</w:t>
      </w:r>
      <w:r w:rsidRPr="008904F2">
        <w:t xml:space="preserve"> - Sanctions</w:t>
      </w:r>
    </w:p>
    <w:p w14:paraId="29B57BE7" w14:textId="75C1816C" w:rsidR="008904F2" w:rsidRPr="008904F2" w:rsidRDefault="008904F2" w:rsidP="008904F2">
      <w:r w:rsidRPr="008904F2">
        <w:t xml:space="preserve">The Authority may impose sanctions for a contravention of the </w:t>
      </w:r>
      <w:r w:rsidR="00A64D4B" w:rsidRPr="00A64D4B">
        <w:t>Licensing</w:t>
      </w:r>
      <w:r w:rsidRPr="008904F2">
        <w:t xml:space="preserve"> Regulations as set out in Schedule 2.”</w:t>
      </w:r>
    </w:p>
    <w:p w14:paraId="325F13A7" w14:textId="77777777" w:rsidR="008904F2" w:rsidRPr="008904F2" w:rsidRDefault="008904F2" w:rsidP="008904F2">
      <w:pPr>
        <w:rPr>
          <w:b/>
          <w:bCs/>
        </w:rPr>
      </w:pPr>
      <w:r w:rsidRPr="008904F2">
        <w:rPr>
          <w:b/>
          <w:bCs/>
        </w:rPr>
        <w:t>Article 3</w:t>
      </w:r>
    </w:p>
    <w:p w14:paraId="0481B321" w14:textId="49CF5D05" w:rsidR="008904F2" w:rsidRPr="008904F2" w:rsidRDefault="008904F2" w:rsidP="008904F2">
      <w:r w:rsidRPr="008904F2">
        <w:t xml:space="preserve">Schedule of Fees (Appendix 1) and Schedule of Sanctions (Appendix 2) shall be annexed to the </w:t>
      </w:r>
      <w:r w:rsidR="00A64D4B" w:rsidRPr="00A64D4B">
        <w:t>Licensing</w:t>
      </w:r>
      <w:r w:rsidRPr="008904F2">
        <w:t xml:space="preserve"> Regulations as Schedule 1 and Schedule 2 respectively. </w:t>
      </w:r>
    </w:p>
    <w:p w14:paraId="7EC1BB12" w14:textId="77777777" w:rsidR="008904F2" w:rsidRPr="008904F2" w:rsidRDefault="008904F2" w:rsidP="008904F2">
      <w:pPr>
        <w:rPr>
          <w:b/>
          <w:bCs/>
        </w:rPr>
      </w:pPr>
      <w:r w:rsidRPr="008904F2">
        <w:rPr>
          <w:b/>
          <w:bCs/>
        </w:rPr>
        <w:t>Article 4</w:t>
      </w:r>
    </w:p>
    <w:p w14:paraId="6932A9AE" w14:textId="77777777" w:rsidR="008904F2" w:rsidRPr="008904F2" w:rsidRDefault="008904F2" w:rsidP="008904F2">
      <w:r w:rsidRPr="008904F2">
        <w:t>These Regulations will be effective from the date of issuance on the Authority’s web site.</w:t>
      </w:r>
    </w:p>
    <w:p w14:paraId="57A47A0F" w14:textId="77777777" w:rsidR="008904F2" w:rsidRPr="008904F2" w:rsidRDefault="008904F2" w:rsidP="008904F2">
      <w:r w:rsidRPr="008904F2">
        <w:br w:type="page"/>
      </w:r>
    </w:p>
    <w:p w14:paraId="5BEB8955" w14:textId="77777777" w:rsidR="008904F2" w:rsidRPr="008904F2" w:rsidRDefault="008904F2" w:rsidP="008904F2">
      <w:pPr>
        <w:keepNext/>
        <w:keepLines/>
        <w:jc w:val="right"/>
        <w:rPr>
          <w:b/>
          <w:bCs/>
          <w:sz w:val="28"/>
          <w:szCs w:val="28"/>
        </w:rPr>
      </w:pPr>
      <w:r w:rsidRPr="008904F2">
        <w:rPr>
          <w:b/>
          <w:bCs/>
          <w:sz w:val="28"/>
          <w:szCs w:val="28"/>
        </w:rPr>
        <w:t>APPENDIX 1</w:t>
      </w:r>
    </w:p>
    <w:p w14:paraId="760073B1" w14:textId="77777777" w:rsidR="008904F2" w:rsidRPr="008904F2" w:rsidRDefault="008904F2" w:rsidP="008904F2">
      <w:pPr>
        <w:keepNext/>
        <w:keepLines/>
        <w:jc w:val="center"/>
        <w:rPr>
          <w:b/>
          <w:bCs/>
          <w:sz w:val="28"/>
          <w:szCs w:val="28"/>
        </w:rPr>
      </w:pPr>
    </w:p>
    <w:p w14:paraId="0A634A23" w14:textId="77777777" w:rsidR="008904F2" w:rsidRPr="008904F2" w:rsidRDefault="008904F2" w:rsidP="008904F2">
      <w:pPr>
        <w:keepNext/>
        <w:keepLines/>
        <w:jc w:val="center"/>
        <w:rPr>
          <w:b/>
          <w:bCs/>
          <w:sz w:val="28"/>
          <w:szCs w:val="28"/>
        </w:rPr>
      </w:pPr>
      <w:r w:rsidRPr="008904F2">
        <w:rPr>
          <w:b/>
          <w:bCs/>
          <w:sz w:val="28"/>
          <w:szCs w:val="28"/>
        </w:rPr>
        <w:t>Schedule 1- Schedule of Fees</w:t>
      </w:r>
    </w:p>
    <w:p w14:paraId="1E1FC582" w14:textId="77777777" w:rsidR="008904F2" w:rsidRPr="008904F2" w:rsidRDefault="008904F2" w:rsidP="008904F2">
      <w:pPr>
        <w:keepNext/>
        <w:keepLines/>
        <w:rPr>
          <w:b/>
          <w:bCs/>
          <w:sz w:val="28"/>
          <w:szCs w:val="28"/>
        </w:rPr>
      </w:pPr>
      <w:r w:rsidRPr="008904F2">
        <w:rPr>
          <w:b/>
          <w:bCs/>
          <w:sz w:val="24"/>
          <w:szCs w:val="24"/>
        </w:rPr>
        <w:t>Article 1- Scope</w:t>
      </w:r>
    </w:p>
    <w:p w14:paraId="43E8C6D2" w14:textId="77777777" w:rsidR="008904F2" w:rsidRPr="008904F2" w:rsidRDefault="008904F2" w:rsidP="008904F2">
      <w:pPr>
        <w:keepNext/>
        <w:keepLines/>
        <w:rPr>
          <w:sz w:val="24"/>
          <w:szCs w:val="24"/>
        </w:rPr>
      </w:pPr>
      <w:r w:rsidRPr="008904F2">
        <w:rPr>
          <w:sz w:val="24"/>
          <w:szCs w:val="24"/>
        </w:rPr>
        <w:t xml:space="preserve">This Schedule of Fees is issued by the Authority and prescribes the fees that will apply and are to be paid by Free Zone Entities pursuant to the Free Zone Legislation. </w:t>
      </w:r>
    </w:p>
    <w:p w14:paraId="542041C7" w14:textId="77777777" w:rsidR="008904F2" w:rsidRPr="008904F2" w:rsidRDefault="008904F2" w:rsidP="008904F2">
      <w:pPr>
        <w:keepNext/>
        <w:keepLines/>
        <w:rPr>
          <w:b/>
          <w:bCs/>
          <w:sz w:val="24"/>
          <w:szCs w:val="24"/>
        </w:rPr>
      </w:pPr>
      <w:r w:rsidRPr="008904F2">
        <w:rPr>
          <w:b/>
          <w:bCs/>
          <w:sz w:val="24"/>
          <w:szCs w:val="24"/>
        </w:rPr>
        <w:t>Article 2- Application</w:t>
      </w:r>
    </w:p>
    <w:p w14:paraId="748840D0" w14:textId="77777777" w:rsidR="008904F2" w:rsidRPr="008904F2" w:rsidRDefault="008904F2" w:rsidP="008904F2">
      <w:pPr>
        <w:keepNext/>
        <w:keepLines/>
        <w:rPr>
          <w:sz w:val="24"/>
          <w:szCs w:val="24"/>
          <w:lang w:val="en-GB"/>
        </w:rPr>
      </w:pPr>
      <w:bookmarkStart w:id="0" w:name="_Toc515472640"/>
      <w:bookmarkStart w:id="1" w:name="_Toc515812949"/>
      <w:r w:rsidRPr="008904F2">
        <w:rPr>
          <w:sz w:val="24"/>
          <w:szCs w:val="24"/>
          <w:lang w:val="en-GB"/>
        </w:rPr>
        <w:t xml:space="preserve">(1) Where a fee is payable for any service stipulated in the annexed Table of Fees, the service request may not be regarded as received until the fee has been paid. </w:t>
      </w:r>
    </w:p>
    <w:p w14:paraId="2A2B5D61" w14:textId="58DEBFA0" w:rsidR="008904F2" w:rsidRPr="008904F2" w:rsidRDefault="008904F2" w:rsidP="008904F2">
      <w:pPr>
        <w:keepNext/>
        <w:keepLines/>
        <w:rPr>
          <w:sz w:val="24"/>
          <w:szCs w:val="24"/>
          <w:lang w:val="en-GB"/>
        </w:rPr>
      </w:pPr>
      <w:r w:rsidRPr="008904F2">
        <w:rPr>
          <w:sz w:val="24"/>
          <w:szCs w:val="24"/>
          <w:lang w:val="en-GB"/>
        </w:rPr>
        <w:t>(2) The Authority may also charge fees by notice for various services requested by Free Zone Entities consistent with</w:t>
      </w:r>
      <w:r w:rsidR="00ED0E6A">
        <w:rPr>
          <w:sz w:val="24"/>
          <w:szCs w:val="24"/>
          <w:lang w:val="en-GB"/>
        </w:rPr>
        <w:t xml:space="preserve"> the</w:t>
      </w:r>
      <w:r w:rsidRPr="008904F2">
        <w:rPr>
          <w:sz w:val="24"/>
          <w:szCs w:val="24"/>
          <w:lang w:val="en-GB"/>
        </w:rPr>
        <w:t xml:space="preserve"> Free Zone</w:t>
      </w:r>
      <w:r w:rsidR="00ED0E6A">
        <w:rPr>
          <w:sz w:val="24"/>
          <w:szCs w:val="24"/>
          <w:lang w:val="en-GB"/>
        </w:rPr>
        <w:t>’</w:t>
      </w:r>
      <w:r w:rsidRPr="008904F2">
        <w:rPr>
          <w:sz w:val="24"/>
          <w:szCs w:val="24"/>
          <w:lang w:val="en-GB"/>
        </w:rPr>
        <w:t>s objectives, even if they are not included in the annexed Table of Fees.</w:t>
      </w:r>
    </w:p>
    <w:p w14:paraId="5CAA28C7" w14:textId="77777777" w:rsidR="008904F2" w:rsidRPr="008904F2" w:rsidRDefault="008904F2" w:rsidP="008904F2">
      <w:pPr>
        <w:keepNext/>
        <w:keepLines/>
        <w:rPr>
          <w:b/>
          <w:bCs/>
          <w:sz w:val="24"/>
          <w:szCs w:val="24"/>
          <w:lang w:val="en-GB"/>
        </w:rPr>
      </w:pPr>
      <w:r w:rsidRPr="008904F2">
        <w:rPr>
          <w:b/>
          <w:bCs/>
          <w:sz w:val="24"/>
          <w:szCs w:val="24"/>
          <w:lang w:val="en-GB"/>
        </w:rPr>
        <w:t>Article 3-Amendment</w:t>
      </w:r>
    </w:p>
    <w:p w14:paraId="06EB52A2" w14:textId="77777777" w:rsidR="008904F2" w:rsidRPr="008904F2" w:rsidRDefault="008904F2" w:rsidP="008904F2">
      <w:pPr>
        <w:keepNext/>
        <w:keepLines/>
        <w:rPr>
          <w:sz w:val="24"/>
          <w:szCs w:val="24"/>
          <w:lang w:val="en-GB"/>
        </w:rPr>
      </w:pPr>
      <w:r w:rsidRPr="008904F2">
        <w:rPr>
          <w:sz w:val="24"/>
          <w:szCs w:val="24"/>
          <w:lang w:val="en-GB"/>
        </w:rPr>
        <w:t xml:space="preserve">This schedule may be updated or amended at any time by the Authority and the updated or amended version will apply upon the date of issue. </w:t>
      </w:r>
    </w:p>
    <w:p w14:paraId="0CCDB964" w14:textId="77777777" w:rsidR="008904F2" w:rsidRPr="008904F2" w:rsidRDefault="008904F2" w:rsidP="008904F2">
      <w:pPr>
        <w:keepNext/>
        <w:keepLines/>
        <w:rPr>
          <w:sz w:val="24"/>
          <w:szCs w:val="24"/>
          <w:lang w:val="en-GB"/>
        </w:rPr>
      </w:pPr>
    </w:p>
    <w:p w14:paraId="4B4DEF12" w14:textId="77777777" w:rsidR="008904F2" w:rsidRPr="008904F2" w:rsidRDefault="008904F2" w:rsidP="008904F2">
      <w:pPr>
        <w:rPr>
          <w:sz w:val="24"/>
          <w:szCs w:val="24"/>
          <w:lang w:val="en-GB"/>
        </w:rPr>
      </w:pPr>
      <w:r w:rsidRPr="008904F2">
        <w:rPr>
          <w:sz w:val="24"/>
          <w:szCs w:val="24"/>
          <w:lang w:val="en-GB"/>
        </w:rPr>
        <w:br w:type="page"/>
      </w:r>
    </w:p>
    <w:p w14:paraId="07D952CB" w14:textId="77777777" w:rsidR="008904F2" w:rsidRPr="008904F2" w:rsidRDefault="008904F2" w:rsidP="008904F2">
      <w:pPr>
        <w:keepNext/>
        <w:keepLines/>
        <w:rPr>
          <w:sz w:val="24"/>
          <w:szCs w:val="24"/>
          <w:lang w:val="en-GB"/>
        </w:rPr>
      </w:pPr>
    </w:p>
    <w:bookmarkEnd w:id="0"/>
    <w:bookmarkEnd w:id="1"/>
    <w:p w14:paraId="3749F3A3" w14:textId="77777777" w:rsidR="008904F2" w:rsidRPr="008904F2" w:rsidRDefault="008904F2" w:rsidP="008904F2">
      <w:pPr>
        <w:keepNext/>
        <w:keepLines/>
        <w:jc w:val="center"/>
        <w:rPr>
          <w:b/>
          <w:bCs/>
          <w:sz w:val="28"/>
          <w:szCs w:val="28"/>
        </w:rPr>
      </w:pPr>
      <w:r w:rsidRPr="008904F2">
        <w:rPr>
          <w:b/>
          <w:bCs/>
          <w:sz w:val="28"/>
          <w:szCs w:val="28"/>
        </w:rPr>
        <w:t>Annex- Table of Fees</w:t>
      </w:r>
    </w:p>
    <w:p w14:paraId="2B148F67" w14:textId="77777777" w:rsidR="008904F2" w:rsidRPr="008904F2" w:rsidRDefault="008904F2" w:rsidP="008904F2">
      <w:pPr>
        <w:keepNext/>
        <w:keepLines/>
        <w:jc w:val="center"/>
        <w:rPr>
          <w:b/>
          <w:bCs/>
          <w:sz w:val="28"/>
          <w:szCs w:val="28"/>
        </w:rPr>
      </w:pPr>
    </w:p>
    <w:tbl>
      <w:tblPr>
        <w:tblStyle w:val="TableGrid"/>
        <w:tblW w:w="0" w:type="auto"/>
        <w:tblLook w:val="04A0" w:firstRow="1" w:lastRow="0" w:firstColumn="1" w:lastColumn="0" w:noHBand="0" w:noVBand="1"/>
      </w:tblPr>
      <w:tblGrid>
        <w:gridCol w:w="5755"/>
        <w:gridCol w:w="1800"/>
        <w:gridCol w:w="1795"/>
      </w:tblGrid>
      <w:tr w:rsidR="008904F2" w:rsidRPr="008904F2" w14:paraId="0A6A7449" w14:textId="77777777" w:rsidTr="005711A1">
        <w:tc>
          <w:tcPr>
            <w:tcW w:w="5755" w:type="dxa"/>
          </w:tcPr>
          <w:p w14:paraId="4ECE3E6E" w14:textId="77777777" w:rsidR="008904F2" w:rsidRPr="008904F2" w:rsidRDefault="008904F2" w:rsidP="008904F2">
            <w:pPr>
              <w:jc w:val="both"/>
              <w:rPr>
                <w:b/>
                <w:bCs/>
                <w:sz w:val="24"/>
                <w:szCs w:val="24"/>
                <w:lang w:val="en-GB"/>
              </w:rPr>
            </w:pPr>
            <w:r w:rsidRPr="008904F2">
              <w:rPr>
                <w:b/>
                <w:bCs/>
                <w:sz w:val="24"/>
                <w:szCs w:val="24"/>
                <w:lang w:val="en-GB"/>
              </w:rPr>
              <w:t>Type of Services</w:t>
            </w:r>
          </w:p>
        </w:tc>
        <w:tc>
          <w:tcPr>
            <w:tcW w:w="1800" w:type="dxa"/>
          </w:tcPr>
          <w:p w14:paraId="593DDDE6" w14:textId="77777777" w:rsidR="008904F2" w:rsidRPr="008904F2" w:rsidRDefault="008904F2" w:rsidP="008904F2">
            <w:pPr>
              <w:jc w:val="both"/>
              <w:rPr>
                <w:b/>
                <w:bCs/>
                <w:sz w:val="24"/>
                <w:szCs w:val="24"/>
                <w:lang w:val="en-GB"/>
              </w:rPr>
            </w:pPr>
            <w:r w:rsidRPr="008904F2">
              <w:rPr>
                <w:rFonts w:cstheme="minorHAnsi"/>
                <w:b/>
                <w:bCs/>
                <w:lang w:val="en-GB"/>
              </w:rPr>
              <w:t>Fee (QAR)</w:t>
            </w:r>
          </w:p>
        </w:tc>
        <w:tc>
          <w:tcPr>
            <w:tcW w:w="1795" w:type="dxa"/>
          </w:tcPr>
          <w:p w14:paraId="35769586" w14:textId="77777777" w:rsidR="008904F2" w:rsidRPr="008904F2" w:rsidRDefault="008904F2" w:rsidP="008904F2">
            <w:pPr>
              <w:jc w:val="both"/>
              <w:rPr>
                <w:rFonts w:cstheme="minorHAnsi"/>
                <w:b/>
                <w:bCs/>
                <w:lang w:val="en-GB"/>
              </w:rPr>
            </w:pPr>
            <w:r w:rsidRPr="008904F2">
              <w:rPr>
                <w:rFonts w:cstheme="minorHAnsi"/>
                <w:b/>
                <w:bCs/>
                <w:lang w:val="en-GB"/>
              </w:rPr>
              <w:t>Type of Fee</w:t>
            </w:r>
          </w:p>
          <w:p w14:paraId="21530EC6" w14:textId="77777777" w:rsidR="008904F2" w:rsidRPr="008904F2" w:rsidRDefault="008904F2" w:rsidP="008904F2">
            <w:pPr>
              <w:jc w:val="both"/>
              <w:rPr>
                <w:b/>
                <w:bCs/>
                <w:sz w:val="24"/>
                <w:szCs w:val="24"/>
                <w:lang w:val="en-GB"/>
              </w:rPr>
            </w:pPr>
          </w:p>
        </w:tc>
      </w:tr>
      <w:tr w:rsidR="00A64D4B" w:rsidRPr="008904F2" w14:paraId="49C4E3DD" w14:textId="77777777" w:rsidTr="00153655">
        <w:tc>
          <w:tcPr>
            <w:tcW w:w="5755" w:type="dxa"/>
            <w:vAlign w:val="center"/>
          </w:tcPr>
          <w:p w14:paraId="26D51AB1" w14:textId="1765875D" w:rsidR="00A64D4B" w:rsidRPr="008904F2" w:rsidRDefault="00A64D4B" w:rsidP="00A64D4B">
            <w:pPr>
              <w:rPr>
                <w:sz w:val="24"/>
                <w:szCs w:val="24"/>
                <w:lang w:val="en-GB"/>
              </w:rPr>
            </w:pPr>
            <w:r w:rsidRPr="005953D9">
              <w:rPr>
                <w:rFonts w:cstheme="minorHAnsi"/>
              </w:rPr>
              <w:t xml:space="preserve"> Application for License</w:t>
            </w:r>
          </w:p>
        </w:tc>
        <w:tc>
          <w:tcPr>
            <w:tcW w:w="1800" w:type="dxa"/>
          </w:tcPr>
          <w:p w14:paraId="586DBD15" w14:textId="2D06B934" w:rsidR="00A64D4B" w:rsidRPr="008904F2" w:rsidRDefault="00A64D4B" w:rsidP="00A64D4B">
            <w:pPr>
              <w:rPr>
                <w:sz w:val="24"/>
                <w:szCs w:val="24"/>
                <w:lang w:val="en-GB"/>
              </w:rPr>
            </w:pPr>
            <w:r w:rsidRPr="005953D9">
              <w:rPr>
                <w:rFonts w:cstheme="minorHAnsi"/>
              </w:rPr>
              <w:t>300</w:t>
            </w:r>
          </w:p>
        </w:tc>
        <w:tc>
          <w:tcPr>
            <w:tcW w:w="1795" w:type="dxa"/>
          </w:tcPr>
          <w:p w14:paraId="04FBC518" w14:textId="75FBBF21" w:rsidR="00A64D4B" w:rsidRPr="008904F2" w:rsidRDefault="00A64D4B" w:rsidP="00A64D4B">
            <w:pPr>
              <w:rPr>
                <w:sz w:val="24"/>
                <w:szCs w:val="24"/>
                <w:lang w:val="en-GB"/>
              </w:rPr>
            </w:pPr>
            <w:r w:rsidRPr="005953D9">
              <w:rPr>
                <w:rFonts w:cstheme="minorHAnsi"/>
              </w:rPr>
              <w:t>One Time</w:t>
            </w:r>
          </w:p>
        </w:tc>
      </w:tr>
      <w:tr w:rsidR="00A64D4B" w:rsidRPr="008904F2" w14:paraId="4C36E26F" w14:textId="77777777" w:rsidTr="005711A1">
        <w:tc>
          <w:tcPr>
            <w:tcW w:w="5755" w:type="dxa"/>
            <w:vAlign w:val="center"/>
          </w:tcPr>
          <w:p w14:paraId="21666D54" w14:textId="55E03A84" w:rsidR="00A64D4B" w:rsidRPr="008904F2" w:rsidRDefault="00A64D4B" w:rsidP="00A64D4B">
            <w:pPr>
              <w:rPr>
                <w:sz w:val="24"/>
                <w:szCs w:val="24"/>
                <w:lang w:val="en-GB"/>
              </w:rPr>
            </w:pPr>
            <w:r w:rsidRPr="005953D9">
              <w:rPr>
                <w:rFonts w:cstheme="minorHAnsi"/>
              </w:rPr>
              <w:t xml:space="preserve"> New License and </w:t>
            </w:r>
            <w:proofErr w:type="spellStart"/>
            <w:r w:rsidRPr="005953D9">
              <w:rPr>
                <w:rFonts w:cstheme="minorHAnsi"/>
              </w:rPr>
              <w:t>Licence</w:t>
            </w:r>
            <w:proofErr w:type="spellEnd"/>
            <w:r w:rsidRPr="005953D9">
              <w:rPr>
                <w:rFonts w:cstheme="minorHAnsi"/>
              </w:rPr>
              <w:t xml:space="preserve"> renewal</w:t>
            </w:r>
          </w:p>
        </w:tc>
        <w:tc>
          <w:tcPr>
            <w:tcW w:w="1800" w:type="dxa"/>
          </w:tcPr>
          <w:p w14:paraId="717CF366" w14:textId="1631B897" w:rsidR="00A64D4B" w:rsidRPr="008904F2" w:rsidRDefault="00A64D4B" w:rsidP="00A64D4B">
            <w:pPr>
              <w:rPr>
                <w:sz w:val="24"/>
                <w:szCs w:val="24"/>
                <w:lang w:val="en-GB"/>
              </w:rPr>
            </w:pPr>
            <w:r w:rsidRPr="005953D9">
              <w:rPr>
                <w:rFonts w:cstheme="minorHAnsi"/>
              </w:rPr>
              <w:t>5,000</w:t>
            </w:r>
          </w:p>
        </w:tc>
        <w:tc>
          <w:tcPr>
            <w:tcW w:w="1795" w:type="dxa"/>
          </w:tcPr>
          <w:p w14:paraId="61927F9F" w14:textId="0C833C25" w:rsidR="00A64D4B" w:rsidRPr="008904F2" w:rsidRDefault="00A64D4B" w:rsidP="00A64D4B">
            <w:pPr>
              <w:rPr>
                <w:sz w:val="24"/>
                <w:szCs w:val="24"/>
                <w:lang w:val="en-GB"/>
              </w:rPr>
            </w:pPr>
            <w:r w:rsidRPr="005953D9">
              <w:rPr>
                <w:rFonts w:cstheme="minorHAnsi"/>
              </w:rPr>
              <w:t>One Time/Annual</w:t>
            </w:r>
          </w:p>
        </w:tc>
      </w:tr>
      <w:tr w:rsidR="00A64D4B" w:rsidRPr="008904F2" w14:paraId="60CDAC1D" w14:textId="77777777" w:rsidTr="005711A1">
        <w:tc>
          <w:tcPr>
            <w:tcW w:w="5755" w:type="dxa"/>
          </w:tcPr>
          <w:p w14:paraId="709996D6" w14:textId="21A70F44" w:rsidR="00A64D4B" w:rsidRPr="008904F2" w:rsidRDefault="00A64D4B" w:rsidP="00A64D4B">
            <w:pPr>
              <w:rPr>
                <w:sz w:val="24"/>
                <w:szCs w:val="24"/>
                <w:lang w:val="en-GB"/>
              </w:rPr>
            </w:pPr>
            <w:r w:rsidRPr="005953D9">
              <w:rPr>
                <w:rFonts w:cstheme="minorHAnsi"/>
                <w:spacing w:val="-1"/>
              </w:rPr>
              <w:t>Adding/Changing Activity in the License (for each activity)</w:t>
            </w:r>
          </w:p>
        </w:tc>
        <w:tc>
          <w:tcPr>
            <w:tcW w:w="1800" w:type="dxa"/>
          </w:tcPr>
          <w:p w14:paraId="4F3C79C4" w14:textId="2101638B" w:rsidR="00A64D4B" w:rsidRPr="008904F2" w:rsidRDefault="00A64D4B" w:rsidP="00A64D4B">
            <w:pPr>
              <w:rPr>
                <w:sz w:val="24"/>
                <w:szCs w:val="24"/>
                <w:lang w:val="en-GB"/>
              </w:rPr>
            </w:pPr>
            <w:r w:rsidRPr="005953D9">
              <w:rPr>
                <w:rFonts w:cstheme="minorHAnsi"/>
              </w:rPr>
              <w:t>1,000</w:t>
            </w:r>
          </w:p>
        </w:tc>
        <w:tc>
          <w:tcPr>
            <w:tcW w:w="1795" w:type="dxa"/>
          </w:tcPr>
          <w:p w14:paraId="5E182EF1" w14:textId="4D549C0B" w:rsidR="00A64D4B" w:rsidRPr="008904F2" w:rsidRDefault="00A64D4B" w:rsidP="00A64D4B">
            <w:pPr>
              <w:rPr>
                <w:sz w:val="24"/>
                <w:szCs w:val="24"/>
                <w:lang w:val="en-GB"/>
              </w:rPr>
            </w:pPr>
            <w:r w:rsidRPr="005953D9">
              <w:rPr>
                <w:rFonts w:cstheme="minorHAnsi"/>
              </w:rPr>
              <w:t>Usage Base</w:t>
            </w:r>
          </w:p>
        </w:tc>
      </w:tr>
      <w:tr w:rsidR="00A64D4B" w:rsidRPr="008904F2" w14:paraId="36D3CC11" w14:textId="77777777" w:rsidTr="005711A1">
        <w:tc>
          <w:tcPr>
            <w:tcW w:w="5755" w:type="dxa"/>
          </w:tcPr>
          <w:p w14:paraId="4D50C933" w14:textId="41F335F3" w:rsidR="00A64D4B" w:rsidRPr="008904F2" w:rsidRDefault="00A64D4B" w:rsidP="00A64D4B">
            <w:pPr>
              <w:rPr>
                <w:sz w:val="24"/>
                <w:szCs w:val="24"/>
                <w:lang w:val="en-GB"/>
              </w:rPr>
            </w:pPr>
            <w:r w:rsidRPr="005953D9">
              <w:rPr>
                <w:rFonts w:cstheme="minorHAnsi"/>
                <w:spacing w:val="-1"/>
              </w:rPr>
              <w:t>Other License Amendments</w:t>
            </w:r>
          </w:p>
        </w:tc>
        <w:tc>
          <w:tcPr>
            <w:tcW w:w="1800" w:type="dxa"/>
          </w:tcPr>
          <w:p w14:paraId="2F437C40" w14:textId="2A6990F5" w:rsidR="00A64D4B" w:rsidRPr="008904F2" w:rsidRDefault="00A64D4B" w:rsidP="00A64D4B">
            <w:pPr>
              <w:rPr>
                <w:sz w:val="24"/>
                <w:szCs w:val="24"/>
                <w:lang w:val="en-GB"/>
              </w:rPr>
            </w:pPr>
            <w:r w:rsidRPr="005953D9">
              <w:rPr>
                <w:rFonts w:cstheme="minorHAnsi"/>
              </w:rPr>
              <w:t>1,000</w:t>
            </w:r>
          </w:p>
        </w:tc>
        <w:tc>
          <w:tcPr>
            <w:tcW w:w="1795" w:type="dxa"/>
          </w:tcPr>
          <w:p w14:paraId="4B026B1B" w14:textId="2EEACD23" w:rsidR="00A64D4B" w:rsidRPr="008904F2" w:rsidRDefault="00A64D4B" w:rsidP="00A64D4B">
            <w:pPr>
              <w:rPr>
                <w:sz w:val="24"/>
                <w:szCs w:val="24"/>
                <w:lang w:val="en-GB"/>
              </w:rPr>
            </w:pPr>
            <w:r w:rsidRPr="005953D9">
              <w:rPr>
                <w:rFonts w:cstheme="minorHAnsi"/>
              </w:rPr>
              <w:t>Usage Base</w:t>
            </w:r>
          </w:p>
        </w:tc>
      </w:tr>
      <w:tr w:rsidR="00A64D4B" w:rsidRPr="008904F2" w14:paraId="1F49EDC1" w14:textId="77777777" w:rsidTr="005711A1">
        <w:tc>
          <w:tcPr>
            <w:tcW w:w="5755" w:type="dxa"/>
          </w:tcPr>
          <w:p w14:paraId="7648792C" w14:textId="00CC9228" w:rsidR="00A64D4B" w:rsidRPr="008904F2" w:rsidRDefault="00A64D4B" w:rsidP="00A64D4B">
            <w:pPr>
              <w:rPr>
                <w:rFonts w:cstheme="minorHAnsi"/>
              </w:rPr>
            </w:pPr>
            <w:r w:rsidRPr="005953D9">
              <w:rPr>
                <w:rFonts w:cstheme="minorHAnsi"/>
                <w:spacing w:val="-1"/>
              </w:rPr>
              <w:t>Replacement / Re-print of License</w:t>
            </w:r>
          </w:p>
        </w:tc>
        <w:tc>
          <w:tcPr>
            <w:tcW w:w="1800" w:type="dxa"/>
          </w:tcPr>
          <w:p w14:paraId="555D7462" w14:textId="430FC539" w:rsidR="00A64D4B" w:rsidRPr="008904F2" w:rsidRDefault="00A64D4B" w:rsidP="00A64D4B">
            <w:pPr>
              <w:rPr>
                <w:rFonts w:cstheme="minorHAnsi"/>
              </w:rPr>
            </w:pPr>
            <w:r w:rsidRPr="005953D9">
              <w:rPr>
                <w:rFonts w:cstheme="minorHAnsi"/>
              </w:rPr>
              <w:t>200</w:t>
            </w:r>
          </w:p>
        </w:tc>
        <w:tc>
          <w:tcPr>
            <w:tcW w:w="1795" w:type="dxa"/>
          </w:tcPr>
          <w:p w14:paraId="7D46C6EA" w14:textId="4F0DFA7E" w:rsidR="00A64D4B" w:rsidRPr="008904F2" w:rsidRDefault="00A64D4B" w:rsidP="00A64D4B">
            <w:pPr>
              <w:rPr>
                <w:rFonts w:cstheme="minorHAnsi"/>
                <w:lang w:val="en-GB"/>
              </w:rPr>
            </w:pPr>
            <w:r w:rsidRPr="005953D9">
              <w:rPr>
                <w:rFonts w:cstheme="minorHAnsi"/>
              </w:rPr>
              <w:t>Usage Base</w:t>
            </w:r>
          </w:p>
        </w:tc>
      </w:tr>
      <w:tr w:rsidR="00A64D4B" w:rsidRPr="008904F2" w14:paraId="0166BEF5" w14:textId="77777777" w:rsidTr="005711A1">
        <w:tc>
          <w:tcPr>
            <w:tcW w:w="5755" w:type="dxa"/>
          </w:tcPr>
          <w:p w14:paraId="7232CA92" w14:textId="664F9075" w:rsidR="00A64D4B" w:rsidRPr="008904F2" w:rsidRDefault="00A64D4B" w:rsidP="00A64D4B">
            <w:pPr>
              <w:rPr>
                <w:rFonts w:cstheme="minorHAnsi"/>
              </w:rPr>
            </w:pPr>
            <w:r w:rsidRPr="005953D9">
              <w:rPr>
                <w:rFonts w:cstheme="minorHAnsi"/>
                <w:spacing w:val="-1"/>
              </w:rPr>
              <w:t>Attestation – True Copy / Original Seen / Notarization</w:t>
            </w:r>
          </w:p>
        </w:tc>
        <w:tc>
          <w:tcPr>
            <w:tcW w:w="1800" w:type="dxa"/>
          </w:tcPr>
          <w:p w14:paraId="21922B7E" w14:textId="1565CCCC" w:rsidR="00A64D4B" w:rsidRPr="008904F2" w:rsidRDefault="00A64D4B" w:rsidP="00A64D4B">
            <w:pPr>
              <w:rPr>
                <w:rFonts w:cstheme="minorHAnsi"/>
              </w:rPr>
            </w:pPr>
            <w:r w:rsidRPr="005953D9">
              <w:rPr>
                <w:rFonts w:cstheme="minorHAnsi"/>
              </w:rPr>
              <w:t>100</w:t>
            </w:r>
          </w:p>
        </w:tc>
        <w:tc>
          <w:tcPr>
            <w:tcW w:w="1795" w:type="dxa"/>
          </w:tcPr>
          <w:p w14:paraId="7F9B3C56" w14:textId="7D6E5DFC" w:rsidR="00A64D4B" w:rsidRPr="008904F2" w:rsidRDefault="00A64D4B" w:rsidP="00A64D4B">
            <w:pPr>
              <w:rPr>
                <w:rFonts w:cstheme="minorHAnsi"/>
                <w:lang w:val="en-GB"/>
              </w:rPr>
            </w:pPr>
            <w:r w:rsidRPr="005953D9">
              <w:rPr>
                <w:rFonts w:cstheme="minorHAnsi"/>
              </w:rPr>
              <w:t>Usage Base</w:t>
            </w:r>
          </w:p>
        </w:tc>
      </w:tr>
      <w:tr w:rsidR="00A64D4B" w:rsidRPr="008904F2" w14:paraId="515EFAC5" w14:textId="77777777" w:rsidTr="005711A1">
        <w:tc>
          <w:tcPr>
            <w:tcW w:w="5755" w:type="dxa"/>
          </w:tcPr>
          <w:p w14:paraId="5DB87F77" w14:textId="0E188F60" w:rsidR="00A64D4B" w:rsidRPr="008904F2" w:rsidRDefault="00A64D4B" w:rsidP="00A64D4B">
            <w:pPr>
              <w:rPr>
                <w:rFonts w:cstheme="minorHAnsi"/>
              </w:rPr>
            </w:pPr>
            <w:r w:rsidRPr="005953D9">
              <w:rPr>
                <w:rFonts w:cstheme="minorHAnsi"/>
                <w:spacing w:val="-1"/>
              </w:rPr>
              <w:t>Standard Letter/NOC to 3rd Party</w:t>
            </w:r>
          </w:p>
        </w:tc>
        <w:tc>
          <w:tcPr>
            <w:tcW w:w="1800" w:type="dxa"/>
          </w:tcPr>
          <w:p w14:paraId="09FED67F" w14:textId="5F410F0B" w:rsidR="00A64D4B" w:rsidRPr="008904F2" w:rsidRDefault="00A64D4B" w:rsidP="00A64D4B">
            <w:pPr>
              <w:rPr>
                <w:rFonts w:cstheme="minorHAnsi"/>
              </w:rPr>
            </w:pPr>
            <w:r w:rsidRPr="005953D9">
              <w:rPr>
                <w:rFonts w:cstheme="minorHAnsi"/>
              </w:rPr>
              <w:t>100</w:t>
            </w:r>
          </w:p>
        </w:tc>
        <w:tc>
          <w:tcPr>
            <w:tcW w:w="1795" w:type="dxa"/>
          </w:tcPr>
          <w:p w14:paraId="1077720C" w14:textId="5DEB0989" w:rsidR="00A64D4B" w:rsidRPr="008904F2" w:rsidRDefault="00A64D4B" w:rsidP="00A64D4B">
            <w:pPr>
              <w:rPr>
                <w:rFonts w:cstheme="minorHAnsi"/>
                <w:lang w:val="en-GB"/>
              </w:rPr>
            </w:pPr>
            <w:r w:rsidRPr="005953D9">
              <w:rPr>
                <w:rFonts w:cstheme="minorHAnsi"/>
              </w:rPr>
              <w:t>Usage Base</w:t>
            </w:r>
          </w:p>
        </w:tc>
      </w:tr>
      <w:tr w:rsidR="00A64D4B" w:rsidRPr="008904F2" w14:paraId="4EA471CD" w14:textId="77777777" w:rsidTr="00153655">
        <w:tc>
          <w:tcPr>
            <w:tcW w:w="5755" w:type="dxa"/>
          </w:tcPr>
          <w:p w14:paraId="43C72B30" w14:textId="1CD9C63B" w:rsidR="00A64D4B" w:rsidRPr="008904F2" w:rsidRDefault="00A64D4B" w:rsidP="00A64D4B">
            <w:pPr>
              <w:rPr>
                <w:rFonts w:cstheme="minorHAnsi"/>
              </w:rPr>
            </w:pPr>
            <w:r w:rsidRPr="005953D9">
              <w:rPr>
                <w:rFonts w:cstheme="minorHAnsi"/>
                <w:spacing w:val="-1"/>
              </w:rPr>
              <w:t>Non-Standard Letters</w:t>
            </w:r>
          </w:p>
        </w:tc>
        <w:tc>
          <w:tcPr>
            <w:tcW w:w="1800" w:type="dxa"/>
          </w:tcPr>
          <w:p w14:paraId="4AD09F30" w14:textId="699689C4" w:rsidR="00A64D4B" w:rsidRPr="008904F2" w:rsidRDefault="00A64D4B" w:rsidP="00A64D4B">
            <w:pPr>
              <w:rPr>
                <w:rFonts w:cstheme="minorHAnsi"/>
              </w:rPr>
            </w:pPr>
            <w:r w:rsidRPr="005953D9">
              <w:rPr>
                <w:rFonts w:cstheme="minorHAnsi"/>
              </w:rPr>
              <w:t>200</w:t>
            </w:r>
          </w:p>
        </w:tc>
        <w:tc>
          <w:tcPr>
            <w:tcW w:w="1795" w:type="dxa"/>
          </w:tcPr>
          <w:p w14:paraId="4077CA9B" w14:textId="4F301738" w:rsidR="00A64D4B" w:rsidRPr="008904F2" w:rsidRDefault="00A64D4B" w:rsidP="00A64D4B">
            <w:pPr>
              <w:rPr>
                <w:rFonts w:cstheme="minorHAnsi"/>
                <w:lang w:val="en-GB"/>
              </w:rPr>
            </w:pPr>
            <w:r w:rsidRPr="005953D9">
              <w:rPr>
                <w:rFonts w:cstheme="minorHAnsi"/>
              </w:rPr>
              <w:t>Usage Base</w:t>
            </w:r>
          </w:p>
        </w:tc>
      </w:tr>
    </w:tbl>
    <w:p w14:paraId="4BBCF2FF" w14:textId="77777777" w:rsidR="008904F2" w:rsidRPr="008904F2" w:rsidRDefault="008904F2" w:rsidP="008904F2">
      <w:pPr>
        <w:rPr>
          <w:sz w:val="24"/>
          <w:szCs w:val="24"/>
          <w:lang w:val="en-GB"/>
        </w:rPr>
      </w:pPr>
      <w:r w:rsidRPr="008904F2">
        <w:rPr>
          <w:sz w:val="24"/>
          <w:szCs w:val="24"/>
          <w:lang w:val="en-GB"/>
        </w:rPr>
        <w:br w:type="page"/>
      </w:r>
    </w:p>
    <w:p w14:paraId="2AC2FCE0" w14:textId="77777777" w:rsidR="008904F2" w:rsidRPr="008904F2" w:rsidRDefault="008904F2" w:rsidP="008904F2">
      <w:pPr>
        <w:keepNext/>
        <w:keepLines/>
        <w:jc w:val="right"/>
        <w:rPr>
          <w:b/>
          <w:bCs/>
          <w:sz w:val="28"/>
          <w:szCs w:val="28"/>
          <w:lang w:val="en-GB"/>
        </w:rPr>
      </w:pPr>
      <w:r w:rsidRPr="008904F2">
        <w:rPr>
          <w:b/>
          <w:bCs/>
          <w:sz w:val="28"/>
          <w:szCs w:val="28"/>
        </w:rPr>
        <w:t xml:space="preserve">APPENDIX </w:t>
      </w:r>
      <w:r w:rsidRPr="008904F2">
        <w:rPr>
          <w:b/>
          <w:bCs/>
          <w:sz w:val="28"/>
          <w:szCs w:val="28"/>
          <w:lang w:val="en-GB"/>
        </w:rPr>
        <w:t>2</w:t>
      </w:r>
    </w:p>
    <w:p w14:paraId="156BE7DB" w14:textId="77777777" w:rsidR="008904F2" w:rsidRPr="008904F2" w:rsidRDefault="008904F2" w:rsidP="008904F2">
      <w:pPr>
        <w:keepNext/>
        <w:keepLines/>
        <w:jc w:val="center"/>
        <w:rPr>
          <w:b/>
          <w:bCs/>
          <w:sz w:val="28"/>
          <w:szCs w:val="28"/>
        </w:rPr>
      </w:pPr>
      <w:r w:rsidRPr="008904F2">
        <w:rPr>
          <w:b/>
          <w:bCs/>
          <w:sz w:val="28"/>
          <w:szCs w:val="28"/>
        </w:rPr>
        <w:t>Schedule 2- Schedule of Sanctions</w:t>
      </w:r>
    </w:p>
    <w:p w14:paraId="67AA8529" w14:textId="77777777" w:rsidR="008904F2" w:rsidRPr="008904F2" w:rsidRDefault="008904F2" w:rsidP="008904F2">
      <w:pPr>
        <w:keepNext/>
        <w:keepLines/>
        <w:rPr>
          <w:rFonts w:eastAsia="Calibri" w:cstheme="minorHAnsi"/>
          <w:b/>
          <w:bCs/>
          <w:sz w:val="24"/>
          <w:szCs w:val="24"/>
        </w:rPr>
      </w:pPr>
      <w:r w:rsidRPr="008904F2">
        <w:rPr>
          <w:rFonts w:eastAsia="Calibri" w:cstheme="minorHAnsi"/>
          <w:b/>
          <w:bCs/>
          <w:sz w:val="24"/>
          <w:szCs w:val="24"/>
        </w:rPr>
        <w:t>Article 1- Scope</w:t>
      </w:r>
    </w:p>
    <w:p w14:paraId="13C37679" w14:textId="66B4B423" w:rsidR="008904F2" w:rsidRPr="008904F2" w:rsidRDefault="008904F2" w:rsidP="008904F2">
      <w:pPr>
        <w:spacing w:after="200" w:line="240" w:lineRule="auto"/>
        <w:jc w:val="both"/>
        <w:rPr>
          <w:rFonts w:eastAsia="Calibri" w:cstheme="minorHAnsi"/>
          <w:sz w:val="24"/>
          <w:szCs w:val="24"/>
        </w:rPr>
      </w:pPr>
      <w:r w:rsidRPr="008904F2">
        <w:rPr>
          <w:rFonts w:eastAsia="Calibri" w:cstheme="minorHAnsi"/>
          <w:sz w:val="24"/>
          <w:szCs w:val="24"/>
        </w:rPr>
        <w:t xml:space="preserve">This Schedule of </w:t>
      </w:r>
      <w:bookmarkStart w:id="2" w:name="_Hlk40083245"/>
      <w:r w:rsidRPr="008904F2">
        <w:rPr>
          <w:rFonts w:eastAsia="Calibri" w:cstheme="minorHAnsi"/>
          <w:sz w:val="24"/>
          <w:szCs w:val="24"/>
        </w:rPr>
        <w:t>Sanctions</w:t>
      </w:r>
      <w:bookmarkEnd w:id="2"/>
      <w:r w:rsidRPr="008904F2">
        <w:rPr>
          <w:rFonts w:eastAsia="Calibri" w:cstheme="minorHAnsi"/>
          <w:sz w:val="24"/>
          <w:szCs w:val="24"/>
        </w:rPr>
        <w:t xml:space="preserve"> is issued by the Authority and prescribes the </w:t>
      </w:r>
      <w:bookmarkStart w:id="3" w:name="_Hlk40083264"/>
      <w:r w:rsidRPr="008904F2">
        <w:rPr>
          <w:rFonts w:eastAsia="Calibri" w:cstheme="minorHAnsi"/>
          <w:sz w:val="24"/>
          <w:szCs w:val="24"/>
        </w:rPr>
        <w:t>sanctions</w:t>
      </w:r>
      <w:bookmarkEnd w:id="3"/>
      <w:r w:rsidRPr="008904F2">
        <w:rPr>
          <w:rFonts w:eastAsia="Calibri" w:cstheme="minorHAnsi"/>
          <w:sz w:val="24"/>
          <w:szCs w:val="24"/>
        </w:rPr>
        <w:t xml:space="preserve"> that will apply and are to be paid by Free Zone Entities pursuant to the Free Zones Legislation </w:t>
      </w:r>
      <w:r w:rsidR="00ED0E6A">
        <w:rPr>
          <w:rFonts w:eastAsia="Calibri" w:cstheme="minorHAnsi"/>
          <w:sz w:val="24"/>
          <w:szCs w:val="24"/>
        </w:rPr>
        <w:t>for</w:t>
      </w:r>
      <w:r w:rsidR="00ED0E6A" w:rsidRPr="008904F2">
        <w:rPr>
          <w:rFonts w:eastAsia="Calibri" w:cstheme="minorHAnsi"/>
          <w:sz w:val="24"/>
          <w:szCs w:val="24"/>
        </w:rPr>
        <w:t xml:space="preserve"> </w:t>
      </w:r>
      <w:r w:rsidRPr="008904F2">
        <w:rPr>
          <w:rFonts w:eastAsia="Calibri" w:cstheme="minorHAnsi"/>
          <w:sz w:val="24"/>
          <w:szCs w:val="24"/>
        </w:rPr>
        <w:t xml:space="preserve">each single contravention of the provisions of Free Zone Legislation. </w:t>
      </w:r>
    </w:p>
    <w:p w14:paraId="4CA4CE1B" w14:textId="77777777" w:rsidR="008904F2" w:rsidRPr="008904F2" w:rsidRDefault="008904F2" w:rsidP="008904F2">
      <w:pPr>
        <w:spacing w:after="200" w:line="240" w:lineRule="auto"/>
        <w:jc w:val="both"/>
        <w:rPr>
          <w:rFonts w:eastAsia="Calibri" w:cstheme="minorHAnsi"/>
          <w:b/>
          <w:bCs/>
          <w:sz w:val="24"/>
          <w:szCs w:val="24"/>
        </w:rPr>
      </w:pPr>
      <w:r w:rsidRPr="008904F2">
        <w:rPr>
          <w:rFonts w:eastAsia="Calibri" w:cstheme="minorHAnsi"/>
          <w:b/>
          <w:bCs/>
          <w:sz w:val="24"/>
          <w:szCs w:val="24"/>
        </w:rPr>
        <w:t>Article 2- Authority’s Power to Impose a Sanction</w:t>
      </w:r>
    </w:p>
    <w:p w14:paraId="6983CCF4" w14:textId="2D70EFD0" w:rsidR="008904F2" w:rsidRPr="008904F2" w:rsidRDefault="008904F2" w:rsidP="008904F2">
      <w:pPr>
        <w:spacing w:after="200" w:line="240" w:lineRule="auto"/>
        <w:jc w:val="both"/>
        <w:rPr>
          <w:rFonts w:eastAsia="Calibri" w:cstheme="minorHAnsi"/>
          <w:sz w:val="24"/>
          <w:szCs w:val="24"/>
        </w:rPr>
      </w:pPr>
      <w:r w:rsidRPr="008904F2">
        <w:rPr>
          <w:rFonts w:eastAsia="Calibri" w:cstheme="minorHAnsi"/>
          <w:sz w:val="24"/>
          <w:szCs w:val="24"/>
        </w:rPr>
        <w:t xml:space="preserve">If the Authority considers that any part or provision of </w:t>
      </w:r>
      <w:r w:rsidR="00ED0E6A">
        <w:rPr>
          <w:rFonts w:eastAsia="Calibri" w:cstheme="minorHAnsi"/>
          <w:sz w:val="24"/>
          <w:szCs w:val="24"/>
        </w:rPr>
        <w:t xml:space="preserve">the </w:t>
      </w:r>
      <w:r w:rsidRPr="008904F2">
        <w:rPr>
          <w:rFonts w:eastAsia="Calibri" w:cstheme="minorHAnsi"/>
          <w:sz w:val="24"/>
          <w:szCs w:val="24"/>
        </w:rPr>
        <w:t xml:space="preserve">Free Zones Legislation referred to in the annexed Table of Financial Sanctions of this Schedule 2 is being </w:t>
      </w:r>
      <w:r w:rsidR="00FD3DA5">
        <w:rPr>
          <w:rFonts w:eastAsia="Calibri" w:cstheme="minorHAnsi"/>
          <w:sz w:val="24"/>
          <w:szCs w:val="24"/>
        </w:rPr>
        <w:t>contravened</w:t>
      </w:r>
      <w:r w:rsidRPr="008904F2">
        <w:rPr>
          <w:rFonts w:eastAsia="Calibri" w:cstheme="minorHAnsi"/>
          <w:sz w:val="24"/>
          <w:szCs w:val="24"/>
        </w:rPr>
        <w:t xml:space="preserve"> by a Free Zone Entity, without prejudice </w:t>
      </w:r>
      <w:proofErr w:type="gramStart"/>
      <w:r w:rsidRPr="008904F2">
        <w:rPr>
          <w:rFonts w:eastAsia="Calibri" w:cstheme="minorHAnsi"/>
          <w:sz w:val="24"/>
          <w:szCs w:val="24"/>
        </w:rPr>
        <w:t>to</w:t>
      </w:r>
      <w:proofErr w:type="gramEnd"/>
      <w:r w:rsidRPr="008904F2">
        <w:rPr>
          <w:rFonts w:eastAsia="Calibri" w:cstheme="minorHAnsi"/>
          <w:sz w:val="24"/>
          <w:szCs w:val="24"/>
        </w:rPr>
        <w:t xml:space="preserve"> any other legislation carrying a more severe sanction, the Authority may impose a financial sanction prescribed therein.</w:t>
      </w:r>
    </w:p>
    <w:p w14:paraId="005AA31B" w14:textId="77777777" w:rsidR="008904F2" w:rsidRPr="008904F2" w:rsidRDefault="008904F2" w:rsidP="008904F2">
      <w:pPr>
        <w:spacing w:after="200" w:line="240" w:lineRule="auto"/>
        <w:jc w:val="both"/>
        <w:rPr>
          <w:rFonts w:eastAsia="Calibri" w:cstheme="minorHAnsi"/>
          <w:b/>
          <w:bCs/>
          <w:sz w:val="24"/>
          <w:szCs w:val="24"/>
        </w:rPr>
      </w:pPr>
      <w:r w:rsidRPr="008904F2">
        <w:rPr>
          <w:rFonts w:eastAsia="Calibri" w:cstheme="minorHAnsi"/>
          <w:b/>
          <w:bCs/>
          <w:sz w:val="24"/>
          <w:szCs w:val="24"/>
        </w:rPr>
        <w:t>Article 3- Written Notice</w:t>
      </w:r>
    </w:p>
    <w:p w14:paraId="302FFCF4" w14:textId="77777777" w:rsidR="008904F2" w:rsidRPr="008904F2" w:rsidRDefault="008904F2" w:rsidP="008904F2">
      <w:pPr>
        <w:spacing w:after="200" w:line="240" w:lineRule="auto"/>
        <w:jc w:val="both"/>
        <w:rPr>
          <w:rFonts w:eastAsia="Calibri" w:cstheme="minorHAnsi"/>
          <w:sz w:val="24"/>
          <w:szCs w:val="24"/>
        </w:rPr>
      </w:pPr>
      <w:bookmarkStart w:id="4" w:name="_Hlk36575644"/>
      <w:r w:rsidRPr="008904F2">
        <w:rPr>
          <w:rFonts w:eastAsia="Calibri" w:cstheme="minorHAnsi"/>
          <w:sz w:val="24"/>
          <w:szCs w:val="24"/>
        </w:rPr>
        <w:t xml:space="preserve">(1) When the Authority believes that a contravention of the provisions referred to in the annexed Table of Financial Sanctions has occurred, it may issue a preliminary notice to be served on the alleged violator. </w:t>
      </w:r>
    </w:p>
    <w:p w14:paraId="3C07F4AF" w14:textId="77777777" w:rsidR="008904F2" w:rsidRPr="008904F2" w:rsidRDefault="008904F2" w:rsidP="008904F2">
      <w:pPr>
        <w:spacing w:after="200" w:line="240" w:lineRule="auto"/>
        <w:jc w:val="both"/>
        <w:rPr>
          <w:rFonts w:eastAsia="Calibri" w:cstheme="minorHAnsi"/>
          <w:sz w:val="24"/>
          <w:szCs w:val="24"/>
        </w:rPr>
      </w:pPr>
      <w:r w:rsidRPr="008904F2">
        <w:rPr>
          <w:rFonts w:eastAsia="Calibri" w:cstheme="minorHAnsi"/>
          <w:sz w:val="24"/>
          <w:szCs w:val="24"/>
        </w:rPr>
        <w:t>(2) The written notice will set out,</w:t>
      </w:r>
    </w:p>
    <w:p w14:paraId="1842AFD9" w14:textId="77777777" w:rsidR="008904F2" w:rsidRPr="008904F2" w:rsidRDefault="008904F2" w:rsidP="008904F2">
      <w:pPr>
        <w:numPr>
          <w:ilvl w:val="3"/>
          <w:numId w:val="1"/>
        </w:numPr>
        <w:spacing w:after="200" w:line="240" w:lineRule="auto"/>
        <w:contextualSpacing/>
        <w:jc w:val="both"/>
        <w:rPr>
          <w:rFonts w:eastAsia="Calibri" w:cstheme="minorHAnsi"/>
          <w:bCs/>
          <w:sz w:val="24"/>
          <w:szCs w:val="24"/>
        </w:rPr>
      </w:pPr>
      <w:r w:rsidRPr="008904F2">
        <w:rPr>
          <w:rFonts w:eastAsia="Calibri" w:cstheme="minorHAnsi"/>
          <w:bCs/>
          <w:sz w:val="24"/>
          <w:szCs w:val="24"/>
        </w:rPr>
        <w:t>the proposed decision;</w:t>
      </w:r>
    </w:p>
    <w:p w14:paraId="5160DC3E" w14:textId="77777777" w:rsidR="008904F2" w:rsidRPr="008904F2" w:rsidRDefault="008904F2" w:rsidP="008904F2">
      <w:pPr>
        <w:numPr>
          <w:ilvl w:val="3"/>
          <w:numId w:val="1"/>
        </w:numPr>
        <w:spacing w:after="200" w:line="240" w:lineRule="auto"/>
        <w:jc w:val="both"/>
        <w:rPr>
          <w:rFonts w:eastAsia="Calibri" w:cstheme="minorHAnsi"/>
          <w:bCs/>
          <w:sz w:val="24"/>
          <w:szCs w:val="24"/>
        </w:rPr>
      </w:pPr>
      <w:r w:rsidRPr="008904F2">
        <w:rPr>
          <w:rFonts w:eastAsia="Calibri" w:cstheme="minorHAnsi"/>
          <w:bCs/>
          <w:sz w:val="24"/>
          <w:szCs w:val="24"/>
        </w:rPr>
        <w:t>the reasons for that proposed decision, including any proposed findings of fact;</w:t>
      </w:r>
    </w:p>
    <w:p w14:paraId="0BEE0A26" w14:textId="77777777" w:rsidR="008904F2" w:rsidRPr="008904F2" w:rsidRDefault="008904F2" w:rsidP="008904F2">
      <w:pPr>
        <w:numPr>
          <w:ilvl w:val="3"/>
          <w:numId w:val="1"/>
        </w:numPr>
        <w:spacing w:after="200" w:line="240" w:lineRule="auto"/>
        <w:jc w:val="both"/>
        <w:rPr>
          <w:rFonts w:eastAsia="Calibri" w:cstheme="minorHAnsi"/>
          <w:bCs/>
          <w:sz w:val="24"/>
          <w:szCs w:val="24"/>
        </w:rPr>
      </w:pPr>
      <w:r w:rsidRPr="008904F2">
        <w:rPr>
          <w:rFonts w:eastAsia="Calibri" w:cstheme="minorHAnsi"/>
          <w:bCs/>
          <w:sz w:val="24"/>
          <w:szCs w:val="24"/>
        </w:rPr>
        <w:t>a copy of the relevant materials which were considered in making the proposed decision;</w:t>
      </w:r>
    </w:p>
    <w:p w14:paraId="4607FC31" w14:textId="77777777" w:rsidR="008904F2" w:rsidRPr="008904F2" w:rsidRDefault="008904F2" w:rsidP="008904F2">
      <w:pPr>
        <w:numPr>
          <w:ilvl w:val="3"/>
          <w:numId w:val="1"/>
        </w:numPr>
        <w:spacing w:after="200" w:line="240" w:lineRule="auto"/>
        <w:jc w:val="both"/>
        <w:rPr>
          <w:rFonts w:eastAsia="Calibri" w:cstheme="minorHAnsi"/>
          <w:bCs/>
          <w:sz w:val="24"/>
          <w:szCs w:val="24"/>
        </w:rPr>
      </w:pPr>
      <w:r w:rsidRPr="008904F2">
        <w:rPr>
          <w:rFonts w:eastAsia="Calibri" w:cstheme="minorHAnsi"/>
          <w:bCs/>
          <w:sz w:val="24"/>
          <w:szCs w:val="24"/>
        </w:rPr>
        <w:t>that the person may make written representations to the Authority concerning the proposed decision; and</w:t>
      </w:r>
    </w:p>
    <w:p w14:paraId="3B62B9F8" w14:textId="77777777" w:rsidR="008904F2" w:rsidRPr="008904F2" w:rsidRDefault="008904F2" w:rsidP="008904F2">
      <w:pPr>
        <w:numPr>
          <w:ilvl w:val="3"/>
          <w:numId w:val="1"/>
        </w:numPr>
        <w:spacing w:after="200" w:line="240" w:lineRule="auto"/>
        <w:jc w:val="both"/>
        <w:rPr>
          <w:rFonts w:eastAsia="Calibri" w:cstheme="minorHAnsi"/>
          <w:bCs/>
          <w:sz w:val="24"/>
          <w:szCs w:val="24"/>
        </w:rPr>
      </w:pPr>
      <w:r w:rsidRPr="008904F2">
        <w:rPr>
          <w:rFonts w:eastAsia="Calibri" w:cstheme="minorHAnsi"/>
          <w:bCs/>
          <w:sz w:val="24"/>
          <w:szCs w:val="24"/>
        </w:rPr>
        <w:t>that the time for making representations will be no less than fifteen (15) days.</w:t>
      </w:r>
    </w:p>
    <w:bookmarkEnd w:id="4"/>
    <w:p w14:paraId="55853496" w14:textId="77777777" w:rsidR="008904F2" w:rsidRPr="008904F2" w:rsidRDefault="008904F2" w:rsidP="008904F2">
      <w:pPr>
        <w:spacing w:after="200" w:line="240" w:lineRule="auto"/>
        <w:jc w:val="both"/>
        <w:rPr>
          <w:rFonts w:eastAsia="Calibri" w:cstheme="minorHAnsi"/>
          <w:bCs/>
          <w:sz w:val="24"/>
          <w:szCs w:val="24"/>
        </w:rPr>
      </w:pPr>
      <w:r w:rsidRPr="008904F2">
        <w:rPr>
          <w:rFonts w:eastAsia="Calibri" w:cstheme="minorHAnsi"/>
          <w:bCs/>
          <w:sz w:val="24"/>
          <w:szCs w:val="24"/>
        </w:rPr>
        <w:t>(3) The recipient of the preliminary notice may request an extension of time allowed for making representations. The Authority will decide whether it is fair to allow an extension, and if so, how much additional time is to be allowed for making representations.</w:t>
      </w:r>
    </w:p>
    <w:p w14:paraId="723F41FF" w14:textId="77777777" w:rsidR="008904F2" w:rsidRPr="008904F2" w:rsidRDefault="008904F2" w:rsidP="008904F2">
      <w:pPr>
        <w:spacing w:after="200" w:line="240" w:lineRule="auto"/>
        <w:jc w:val="both"/>
        <w:rPr>
          <w:rFonts w:eastAsia="Calibri" w:cstheme="minorHAnsi"/>
          <w:sz w:val="24"/>
          <w:szCs w:val="24"/>
          <w:lang w:val="tr-TR"/>
        </w:rPr>
      </w:pPr>
      <w:r w:rsidRPr="008904F2">
        <w:rPr>
          <w:rFonts w:eastAsia="Calibri" w:cstheme="minorHAnsi"/>
          <w:sz w:val="24"/>
          <w:szCs w:val="24"/>
          <w:lang w:val="tr-TR"/>
        </w:rPr>
        <w:t>(4) If the Authority receives no response or representations within the period specified in the preliminary notice, or after considering the representations decides to make the same or a different decision, the Authority will, as soon as practicable, issue a decision notice to the person in relation to whom the power is exercised specifying:</w:t>
      </w:r>
    </w:p>
    <w:p w14:paraId="7FD3B5DD" w14:textId="77777777" w:rsidR="008904F2" w:rsidRPr="008904F2" w:rsidRDefault="008904F2" w:rsidP="008904F2">
      <w:pPr>
        <w:numPr>
          <w:ilvl w:val="3"/>
          <w:numId w:val="2"/>
        </w:numPr>
        <w:spacing w:after="200" w:line="240" w:lineRule="auto"/>
        <w:contextualSpacing/>
        <w:jc w:val="both"/>
        <w:rPr>
          <w:rFonts w:eastAsia="Calibri" w:cstheme="minorHAnsi"/>
          <w:bCs/>
          <w:sz w:val="24"/>
          <w:szCs w:val="24"/>
        </w:rPr>
      </w:pPr>
      <w:r w:rsidRPr="008904F2">
        <w:rPr>
          <w:rFonts w:eastAsia="Calibri" w:cstheme="minorHAnsi"/>
          <w:bCs/>
          <w:sz w:val="24"/>
          <w:szCs w:val="24"/>
        </w:rPr>
        <w:t>the decision;</w:t>
      </w:r>
    </w:p>
    <w:p w14:paraId="77F4E494" w14:textId="77777777" w:rsidR="008904F2" w:rsidRPr="008904F2" w:rsidRDefault="008904F2" w:rsidP="008904F2">
      <w:pPr>
        <w:numPr>
          <w:ilvl w:val="3"/>
          <w:numId w:val="2"/>
        </w:numPr>
        <w:spacing w:after="200" w:line="240" w:lineRule="auto"/>
        <w:jc w:val="both"/>
        <w:rPr>
          <w:rFonts w:eastAsia="Calibri" w:cstheme="minorHAnsi"/>
          <w:bCs/>
          <w:sz w:val="24"/>
          <w:szCs w:val="24"/>
        </w:rPr>
      </w:pPr>
      <w:r w:rsidRPr="008904F2">
        <w:rPr>
          <w:rFonts w:eastAsia="Calibri" w:cstheme="minorHAnsi"/>
          <w:bCs/>
          <w:sz w:val="24"/>
          <w:szCs w:val="24"/>
        </w:rPr>
        <w:t>the reasons for the decision, including its findings of fact;</w:t>
      </w:r>
    </w:p>
    <w:p w14:paraId="08F2075E" w14:textId="77777777" w:rsidR="008904F2" w:rsidRPr="008904F2" w:rsidRDefault="008904F2" w:rsidP="008904F2">
      <w:pPr>
        <w:numPr>
          <w:ilvl w:val="3"/>
          <w:numId w:val="2"/>
        </w:numPr>
        <w:spacing w:after="200" w:line="240" w:lineRule="auto"/>
        <w:jc w:val="both"/>
        <w:rPr>
          <w:rFonts w:eastAsia="Calibri" w:cstheme="minorHAnsi"/>
          <w:bCs/>
          <w:sz w:val="24"/>
          <w:szCs w:val="24"/>
        </w:rPr>
      </w:pPr>
      <w:r w:rsidRPr="008904F2">
        <w:rPr>
          <w:rFonts w:eastAsia="Calibri" w:cstheme="minorHAnsi"/>
          <w:bCs/>
          <w:sz w:val="24"/>
          <w:szCs w:val="24"/>
        </w:rPr>
        <w:t>the date on which the decision is to take effect;</w:t>
      </w:r>
    </w:p>
    <w:p w14:paraId="48114F87" w14:textId="77777777" w:rsidR="008904F2" w:rsidRPr="008904F2" w:rsidRDefault="008904F2" w:rsidP="008904F2">
      <w:pPr>
        <w:numPr>
          <w:ilvl w:val="3"/>
          <w:numId w:val="2"/>
        </w:numPr>
        <w:spacing w:after="200" w:line="240" w:lineRule="auto"/>
        <w:jc w:val="both"/>
        <w:rPr>
          <w:rFonts w:eastAsia="Calibri" w:cstheme="minorHAnsi"/>
          <w:bCs/>
          <w:sz w:val="24"/>
          <w:szCs w:val="24"/>
        </w:rPr>
      </w:pPr>
      <w:r w:rsidRPr="008904F2">
        <w:rPr>
          <w:rFonts w:eastAsia="Calibri" w:cstheme="minorHAnsi"/>
          <w:bCs/>
          <w:sz w:val="24"/>
          <w:szCs w:val="24"/>
        </w:rPr>
        <w:t>if applicable, the date by which any relevant action must be taken by the person; and</w:t>
      </w:r>
    </w:p>
    <w:p w14:paraId="5B24D897" w14:textId="77777777" w:rsidR="008904F2" w:rsidRPr="008904F2" w:rsidRDefault="008904F2" w:rsidP="008904F2">
      <w:pPr>
        <w:numPr>
          <w:ilvl w:val="3"/>
          <w:numId w:val="2"/>
        </w:numPr>
        <w:spacing w:after="200" w:line="240" w:lineRule="auto"/>
        <w:jc w:val="both"/>
        <w:rPr>
          <w:rFonts w:eastAsia="Calibri" w:cstheme="minorHAnsi"/>
          <w:bCs/>
          <w:sz w:val="24"/>
          <w:szCs w:val="24"/>
        </w:rPr>
      </w:pPr>
      <w:r w:rsidRPr="008904F2">
        <w:rPr>
          <w:rFonts w:eastAsia="Calibri" w:cstheme="minorHAnsi"/>
          <w:bCs/>
          <w:sz w:val="24"/>
          <w:szCs w:val="24"/>
        </w:rPr>
        <w:t>the person’s right to seek grievance of the decision by the Authority.</w:t>
      </w:r>
    </w:p>
    <w:p w14:paraId="2F95FDEF" w14:textId="77777777" w:rsidR="008904F2" w:rsidRPr="008904F2" w:rsidRDefault="008904F2" w:rsidP="008904F2">
      <w:pPr>
        <w:spacing w:after="200" w:line="240" w:lineRule="auto"/>
        <w:jc w:val="both"/>
        <w:rPr>
          <w:rFonts w:eastAsia="Calibri" w:cstheme="minorHAnsi"/>
          <w:bCs/>
          <w:sz w:val="24"/>
          <w:szCs w:val="24"/>
        </w:rPr>
      </w:pPr>
      <w:r w:rsidRPr="008904F2">
        <w:rPr>
          <w:rFonts w:eastAsia="Calibri" w:cstheme="minorHAnsi"/>
          <w:bCs/>
          <w:sz w:val="24"/>
          <w:szCs w:val="24"/>
        </w:rPr>
        <w:t>(5) If the Authority decides that the Authority should not give a decision notice, Authority will notify the relevant parties of the decision in writing.</w:t>
      </w:r>
    </w:p>
    <w:p w14:paraId="283B94F0" w14:textId="77777777" w:rsidR="008904F2" w:rsidRPr="008904F2" w:rsidRDefault="008904F2" w:rsidP="008904F2">
      <w:pPr>
        <w:spacing w:after="200" w:line="240" w:lineRule="auto"/>
        <w:jc w:val="both"/>
        <w:rPr>
          <w:rFonts w:eastAsia="Calibri" w:cstheme="minorHAnsi"/>
          <w:b/>
          <w:bCs/>
          <w:sz w:val="24"/>
          <w:szCs w:val="24"/>
        </w:rPr>
      </w:pPr>
      <w:r w:rsidRPr="008904F2">
        <w:rPr>
          <w:rFonts w:eastAsia="Calibri" w:cstheme="minorHAnsi"/>
          <w:b/>
          <w:bCs/>
          <w:sz w:val="24"/>
          <w:szCs w:val="24"/>
        </w:rPr>
        <w:t>Article 4- Prejudice to the Interests of Free Zone Entities or the Authority</w:t>
      </w:r>
    </w:p>
    <w:p w14:paraId="10CD903C" w14:textId="77777777" w:rsidR="008904F2" w:rsidRPr="008904F2" w:rsidRDefault="008904F2" w:rsidP="008904F2">
      <w:pPr>
        <w:spacing w:after="200" w:line="240" w:lineRule="auto"/>
        <w:jc w:val="both"/>
        <w:rPr>
          <w:rFonts w:eastAsia="Calibri" w:cstheme="minorHAnsi"/>
          <w:sz w:val="24"/>
          <w:szCs w:val="24"/>
        </w:rPr>
      </w:pPr>
      <w:r w:rsidRPr="008904F2">
        <w:rPr>
          <w:rFonts w:eastAsia="Calibri" w:cstheme="minorHAnsi"/>
          <w:sz w:val="24"/>
          <w:szCs w:val="24"/>
        </w:rPr>
        <w:t>(1) If the Authority concludes that any delay likely to arise as a result of complying with the procedures in Article 3 would be prejudicial to the interests of other Free Zone Entities or otherwise prejudicial to the interests of the Authority:</w:t>
      </w:r>
    </w:p>
    <w:p w14:paraId="3923077E" w14:textId="77777777" w:rsidR="008904F2" w:rsidRPr="008904F2" w:rsidRDefault="008904F2" w:rsidP="008904F2">
      <w:pPr>
        <w:numPr>
          <w:ilvl w:val="3"/>
          <w:numId w:val="3"/>
        </w:numPr>
        <w:spacing w:after="200" w:line="240" w:lineRule="auto"/>
        <w:contextualSpacing/>
        <w:jc w:val="both"/>
        <w:rPr>
          <w:rFonts w:eastAsia="Calibri" w:cstheme="minorHAnsi"/>
          <w:sz w:val="24"/>
          <w:szCs w:val="24"/>
        </w:rPr>
      </w:pPr>
      <w:r w:rsidRPr="008904F2">
        <w:rPr>
          <w:rFonts w:eastAsia="Calibri" w:cstheme="minorHAnsi"/>
          <w:sz w:val="24"/>
          <w:szCs w:val="24"/>
        </w:rPr>
        <w:t>preliminary notice and representation procedures do not apply; and</w:t>
      </w:r>
    </w:p>
    <w:p w14:paraId="0FE3415F" w14:textId="6E3030C5" w:rsidR="008904F2" w:rsidRPr="008904F2" w:rsidRDefault="00D517D7" w:rsidP="008904F2">
      <w:pPr>
        <w:numPr>
          <w:ilvl w:val="3"/>
          <w:numId w:val="3"/>
        </w:numPr>
        <w:spacing w:after="200" w:line="240" w:lineRule="auto"/>
        <w:jc w:val="both"/>
        <w:rPr>
          <w:rFonts w:eastAsia="Calibri" w:cstheme="minorHAnsi"/>
          <w:sz w:val="24"/>
          <w:szCs w:val="24"/>
        </w:rPr>
      </w:pPr>
      <w:r w:rsidRPr="008904F2">
        <w:rPr>
          <w:rFonts w:eastAsia="Calibri" w:cstheme="minorHAnsi"/>
          <w:sz w:val="24"/>
          <w:szCs w:val="24"/>
        </w:rPr>
        <w:t>instead,</w:t>
      </w:r>
      <w:r w:rsidR="008904F2" w:rsidRPr="008904F2">
        <w:rPr>
          <w:rFonts w:eastAsia="Calibri" w:cstheme="minorHAnsi"/>
          <w:sz w:val="24"/>
          <w:szCs w:val="24"/>
        </w:rPr>
        <w:t xml:space="preserve"> the Authority must provide the person with an opportunity to make representations to the Authority in writing within a period of fifteen (15) days, or such further period as may be decided, from the date on which the decision notice is given.</w:t>
      </w:r>
    </w:p>
    <w:p w14:paraId="1C4F8FC3" w14:textId="77777777" w:rsidR="008904F2" w:rsidRPr="008904F2" w:rsidRDefault="008904F2" w:rsidP="008904F2">
      <w:pPr>
        <w:spacing w:after="200" w:line="240" w:lineRule="auto"/>
        <w:jc w:val="both"/>
        <w:rPr>
          <w:rFonts w:eastAsia="Calibri" w:cstheme="minorHAnsi"/>
          <w:sz w:val="24"/>
          <w:szCs w:val="24"/>
        </w:rPr>
      </w:pPr>
      <w:r w:rsidRPr="008904F2">
        <w:rPr>
          <w:rFonts w:eastAsia="Calibri" w:cstheme="minorHAnsi"/>
          <w:sz w:val="24"/>
          <w:szCs w:val="24"/>
        </w:rPr>
        <w:t>(2) If the Authority does not receive any representations within the period specified in the notice, it must inform the person in writing that the decision is to stand.</w:t>
      </w:r>
    </w:p>
    <w:p w14:paraId="334AF2CC" w14:textId="77777777" w:rsidR="008904F2" w:rsidRPr="008904F2" w:rsidRDefault="008904F2" w:rsidP="008904F2">
      <w:pPr>
        <w:spacing w:after="200" w:line="240" w:lineRule="auto"/>
        <w:jc w:val="both"/>
        <w:rPr>
          <w:rFonts w:eastAsia="Calibri" w:cstheme="minorHAnsi"/>
          <w:sz w:val="24"/>
          <w:szCs w:val="24"/>
        </w:rPr>
      </w:pPr>
      <w:r w:rsidRPr="008904F2">
        <w:rPr>
          <w:rFonts w:eastAsia="Calibri" w:cstheme="minorHAnsi"/>
          <w:sz w:val="24"/>
          <w:szCs w:val="24"/>
        </w:rPr>
        <w:t xml:space="preserve">(3) If the Authority receives representations within the period specified in the notice, after considering the representations the Authority may decide to confirm, withdraw or vary the decision and it must as soon as practicable notify the person of the decision in writing. </w:t>
      </w:r>
    </w:p>
    <w:p w14:paraId="5D515679" w14:textId="77777777" w:rsidR="008904F2" w:rsidRPr="008904F2" w:rsidRDefault="008904F2" w:rsidP="008904F2">
      <w:pPr>
        <w:spacing w:after="200" w:line="240" w:lineRule="auto"/>
        <w:jc w:val="both"/>
        <w:rPr>
          <w:rFonts w:eastAsia="Calibri" w:cstheme="minorHAnsi"/>
          <w:b/>
          <w:bCs/>
          <w:sz w:val="24"/>
          <w:szCs w:val="24"/>
        </w:rPr>
      </w:pPr>
      <w:r w:rsidRPr="008904F2">
        <w:rPr>
          <w:rFonts w:eastAsia="Calibri" w:cstheme="minorHAnsi"/>
          <w:b/>
          <w:bCs/>
          <w:sz w:val="24"/>
          <w:szCs w:val="24"/>
        </w:rPr>
        <w:t>Article 5- Grievances</w:t>
      </w:r>
    </w:p>
    <w:p w14:paraId="146F3C0C" w14:textId="3D6F90C9" w:rsidR="008904F2" w:rsidRPr="008904F2" w:rsidRDefault="008904F2" w:rsidP="008904F2">
      <w:pPr>
        <w:spacing w:after="200" w:line="240" w:lineRule="auto"/>
        <w:jc w:val="both"/>
        <w:rPr>
          <w:rFonts w:eastAsia="Calibri" w:cstheme="minorHAnsi"/>
          <w:bCs/>
          <w:sz w:val="24"/>
          <w:szCs w:val="24"/>
        </w:rPr>
      </w:pPr>
      <w:r w:rsidRPr="008904F2">
        <w:rPr>
          <w:rFonts w:eastAsia="Calibri" w:cstheme="minorHAnsi"/>
          <w:sz w:val="24"/>
          <w:szCs w:val="24"/>
        </w:rPr>
        <w:t xml:space="preserve">(1) </w:t>
      </w:r>
      <w:r w:rsidRPr="008904F2">
        <w:rPr>
          <w:rFonts w:eastAsia="Calibri" w:cstheme="minorHAnsi"/>
          <w:bCs/>
          <w:sz w:val="24"/>
          <w:szCs w:val="24"/>
        </w:rPr>
        <w:t xml:space="preserve">A grievance against the decisions of the Authority will be submitted by the </w:t>
      </w:r>
      <w:proofErr w:type="gramStart"/>
      <w:r w:rsidRPr="008904F2">
        <w:rPr>
          <w:rFonts w:eastAsia="Calibri" w:cstheme="minorHAnsi"/>
          <w:bCs/>
          <w:sz w:val="24"/>
          <w:szCs w:val="24"/>
        </w:rPr>
        <w:t>concerned person</w:t>
      </w:r>
      <w:proofErr w:type="gramEnd"/>
      <w:r w:rsidRPr="008904F2">
        <w:rPr>
          <w:rFonts w:eastAsia="Calibri" w:cstheme="minorHAnsi"/>
          <w:bCs/>
          <w:sz w:val="24"/>
          <w:szCs w:val="24"/>
        </w:rPr>
        <w:t xml:space="preserve"> to the Authority, within fifteen (15) days </w:t>
      </w:r>
      <w:proofErr w:type="gramStart"/>
      <w:r w:rsidR="00ED0E6A">
        <w:rPr>
          <w:rFonts w:eastAsia="Calibri" w:cstheme="minorHAnsi"/>
          <w:bCs/>
          <w:sz w:val="24"/>
          <w:szCs w:val="24"/>
        </w:rPr>
        <w:t>from</w:t>
      </w:r>
      <w:proofErr w:type="gramEnd"/>
      <w:r w:rsidR="00ED0E6A" w:rsidRPr="008904F2">
        <w:rPr>
          <w:rFonts w:eastAsia="Calibri" w:cstheme="minorHAnsi"/>
          <w:bCs/>
          <w:sz w:val="24"/>
          <w:szCs w:val="24"/>
        </w:rPr>
        <w:t xml:space="preserve"> </w:t>
      </w:r>
      <w:r w:rsidRPr="008904F2">
        <w:rPr>
          <w:rFonts w:eastAsia="Calibri" w:cstheme="minorHAnsi"/>
          <w:bCs/>
          <w:sz w:val="24"/>
          <w:szCs w:val="24"/>
        </w:rPr>
        <w:t xml:space="preserve">the date of </w:t>
      </w:r>
      <w:r w:rsidR="00ED0E6A">
        <w:rPr>
          <w:rFonts w:eastAsia="Calibri" w:cstheme="minorHAnsi"/>
          <w:bCs/>
          <w:sz w:val="24"/>
          <w:szCs w:val="24"/>
        </w:rPr>
        <w:t xml:space="preserve">the </w:t>
      </w:r>
      <w:r w:rsidRPr="008904F2">
        <w:rPr>
          <w:rFonts w:eastAsia="Calibri" w:cstheme="minorHAnsi"/>
          <w:bCs/>
          <w:sz w:val="24"/>
          <w:szCs w:val="24"/>
        </w:rPr>
        <w:t xml:space="preserve">decision notice. </w:t>
      </w:r>
    </w:p>
    <w:p w14:paraId="0A5F54E8" w14:textId="77777777" w:rsidR="008904F2" w:rsidRPr="008904F2" w:rsidRDefault="008904F2" w:rsidP="008904F2">
      <w:pPr>
        <w:spacing w:after="200" w:line="240" w:lineRule="auto"/>
        <w:jc w:val="both"/>
        <w:rPr>
          <w:rFonts w:eastAsia="Calibri" w:cstheme="minorHAnsi"/>
          <w:bCs/>
          <w:sz w:val="24"/>
          <w:szCs w:val="24"/>
        </w:rPr>
      </w:pPr>
      <w:r w:rsidRPr="008904F2">
        <w:rPr>
          <w:rFonts w:eastAsia="Calibri" w:cstheme="minorHAnsi"/>
          <w:bCs/>
          <w:sz w:val="24"/>
          <w:szCs w:val="24"/>
        </w:rPr>
        <w:t>(2) The grievance will contain the following information:</w:t>
      </w:r>
    </w:p>
    <w:p w14:paraId="0648F2C5" w14:textId="7C124256" w:rsidR="008904F2" w:rsidRPr="008904F2" w:rsidRDefault="00ED0E6A" w:rsidP="008904F2">
      <w:pPr>
        <w:numPr>
          <w:ilvl w:val="3"/>
          <w:numId w:val="4"/>
        </w:numPr>
        <w:spacing w:after="200" w:line="240" w:lineRule="auto"/>
        <w:contextualSpacing/>
        <w:jc w:val="both"/>
        <w:rPr>
          <w:rFonts w:eastAsia="Calibri" w:cstheme="minorHAnsi"/>
          <w:bCs/>
          <w:sz w:val="24"/>
          <w:szCs w:val="24"/>
        </w:rPr>
      </w:pPr>
      <w:r>
        <w:rPr>
          <w:rFonts w:eastAsia="Calibri" w:cstheme="minorHAnsi"/>
          <w:bCs/>
          <w:sz w:val="24"/>
          <w:szCs w:val="24"/>
        </w:rPr>
        <w:t>t</w:t>
      </w:r>
      <w:r w:rsidR="008904F2" w:rsidRPr="008904F2">
        <w:rPr>
          <w:rFonts w:eastAsia="Calibri" w:cstheme="minorHAnsi"/>
          <w:bCs/>
          <w:sz w:val="24"/>
          <w:szCs w:val="24"/>
        </w:rPr>
        <w:t xml:space="preserve">he </w:t>
      </w:r>
      <w:proofErr w:type="spellStart"/>
      <w:r w:rsidR="008904F2" w:rsidRPr="008904F2">
        <w:rPr>
          <w:rFonts w:eastAsia="Calibri" w:cstheme="minorHAnsi"/>
          <w:bCs/>
          <w:sz w:val="24"/>
          <w:szCs w:val="24"/>
        </w:rPr>
        <w:t>grievant's</w:t>
      </w:r>
      <w:proofErr w:type="spellEnd"/>
      <w:r w:rsidR="008904F2" w:rsidRPr="008904F2">
        <w:rPr>
          <w:rFonts w:eastAsia="Calibri" w:cstheme="minorHAnsi"/>
          <w:bCs/>
          <w:sz w:val="24"/>
          <w:szCs w:val="24"/>
        </w:rPr>
        <w:t xml:space="preserve"> name, surname, capacity and address;</w:t>
      </w:r>
    </w:p>
    <w:p w14:paraId="379622AB" w14:textId="6387DCD8" w:rsidR="008904F2" w:rsidRPr="008904F2" w:rsidRDefault="00ED0E6A" w:rsidP="008904F2">
      <w:pPr>
        <w:numPr>
          <w:ilvl w:val="3"/>
          <w:numId w:val="4"/>
        </w:numPr>
        <w:spacing w:after="200" w:line="240" w:lineRule="auto"/>
        <w:jc w:val="both"/>
        <w:rPr>
          <w:rFonts w:eastAsia="Calibri" w:cstheme="minorHAnsi"/>
          <w:bCs/>
          <w:sz w:val="24"/>
          <w:szCs w:val="24"/>
        </w:rPr>
      </w:pPr>
      <w:r>
        <w:rPr>
          <w:rFonts w:eastAsia="Calibri" w:cstheme="minorHAnsi"/>
          <w:bCs/>
          <w:sz w:val="24"/>
          <w:szCs w:val="24"/>
        </w:rPr>
        <w:t>t</w:t>
      </w:r>
      <w:r w:rsidR="008904F2" w:rsidRPr="008904F2">
        <w:rPr>
          <w:rFonts w:eastAsia="Calibri" w:cstheme="minorHAnsi"/>
          <w:bCs/>
          <w:sz w:val="24"/>
          <w:szCs w:val="24"/>
        </w:rPr>
        <w:t>he grieved-against decision, the date of its issuance and the date of its notification to the grievant or the date of knowledge;</w:t>
      </w:r>
    </w:p>
    <w:p w14:paraId="15BCCF51" w14:textId="6E303131" w:rsidR="008904F2" w:rsidRPr="008904F2" w:rsidRDefault="00ED0E6A" w:rsidP="008904F2">
      <w:pPr>
        <w:numPr>
          <w:ilvl w:val="3"/>
          <w:numId w:val="4"/>
        </w:numPr>
        <w:spacing w:after="200" w:line="240" w:lineRule="auto"/>
        <w:jc w:val="both"/>
        <w:rPr>
          <w:rFonts w:eastAsia="Calibri" w:cstheme="minorHAnsi"/>
          <w:bCs/>
          <w:sz w:val="24"/>
          <w:szCs w:val="24"/>
        </w:rPr>
      </w:pPr>
      <w:r>
        <w:rPr>
          <w:rFonts w:eastAsia="Calibri" w:cstheme="minorHAnsi"/>
          <w:bCs/>
          <w:sz w:val="24"/>
          <w:szCs w:val="24"/>
        </w:rPr>
        <w:t>t</w:t>
      </w:r>
      <w:r w:rsidR="008904F2" w:rsidRPr="008904F2">
        <w:rPr>
          <w:rFonts w:eastAsia="Calibri" w:cstheme="minorHAnsi"/>
          <w:bCs/>
          <w:sz w:val="24"/>
          <w:szCs w:val="24"/>
        </w:rPr>
        <w:t>he grounds on which the grievance is based, and the supporting documents, and explanatory memorandums;</w:t>
      </w:r>
    </w:p>
    <w:p w14:paraId="076A1E10" w14:textId="49DC2620" w:rsidR="008904F2" w:rsidRPr="008904F2" w:rsidRDefault="00ED0E6A" w:rsidP="008904F2">
      <w:pPr>
        <w:numPr>
          <w:ilvl w:val="3"/>
          <w:numId w:val="4"/>
        </w:numPr>
        <w:spacing w:after="200" w:line="240" w:lineRule="auto"/>
        <w:jc w:val="both"/>
        <w:rPr>
          <w:rFonts w:eastAsia="Calibri" w:cstheme="minorHAnsi"/>
          <w:bCs/>
          <w:sz w:val="24"/>
          <w:szCs w:val="24"/>
        </w:rPr>
      </w:pPr>
      <w:r>
        <w:rPr>
          <w:rFonts w:eastAsia="Calibri" w:cstheme="minorHAnsi"/>
          <w:bCs/>
          <w:sz w:val="24"/>
          <w:szCs w:val="24"/>
        </w:rPr>
        <w:t>t</w:t>
      </w:r>
      <w:r w:rsidR="008904F2" w:rsidRPr="008904F2">
        <w:rPr>
          <w:rFonts w:eastAsia="Calibri" w:cstheme="minorHAnsi"/>
          <w:bCs/>
          <w:sz w:val="24"/>
          <w:szCs w:val="24"/>
        </w:rPr>
        <w:t>he specific requests of the grievant;</w:t>
      </w:r>
      <w:r>
        <w:rPr>
          <w:rFonts w:eastAsia="Calibri" w:cstheme="minorHAnsi"/>
          <w:bCs/>
          <w:sz w:val="24"/>
          <w:szCs w:val="24"/>
        </w:rPr>
        <w:t xml:space="preserve"> and</w:t>
      </w:r>
    </w:p>
    <w:p w14:paraId="0D0FF1CE" w14:textId="71E44BC2" w:rsidR="008904F2" w:rsidRPr="008904F2" w:rsidRDefault="00ED0E6A" w:rsidP="008904F2">
      <w:pPr>
        <w:numPr>
          <w:ilvl w:val="3"/>
          <w:numId w:val="4"/>
        </w:numPr>
        <w:spacing w:after="200" w:line="240" w:lineRule="auto"/>
        <w:jc w:val="both"/>
        <w:rPr>
          <w:rFonts w:eastAsia="Calibri" w:cstheme="minorHAnsi"/>
          <w:bCs/>
          <w:sz w:val="24"/>
          <w:szCs w:val="24"/>
        </w:rPr>
      </w:pPr>
      <w:r>
        <w:rPr>
          <w:rFonts w:eastAsia="Calibri" w:cstheme="minorHAnsi"/>
          <w:bCs/>
          <w:sz w:val="24"/>
          <w:szCs w:val="24"/>
        </w:rPr>
        <w:t>t</w:t>
      </w:r>
      <w:r w:rsidR="008904F2" w:rsidRPr="008904F2">
        <w:rPr>
          <w:rFonts w:eastAsia="Calibri" w:cstheme="minorHAnsi"/>
          <w:bCs/>
          <w:sz w:val="24"/>
          <w:szCs w:val="24"/>
        </w:rPr>
        <w:t>he relevant means for the grievant to receive the notices related to the review of the grievance, whether by email or telephone or other means.</w:t>
      </w:r>
    </w:p>
    <w:p w14:paraId="37BC22D6" w14:textId="185C50B7" w:rsidR="008904F2" w:rsidRPr="008904F2" w:rsidRDefault="008904F2" w:rsidP="008D4D3F">
      <w:pPr>
        <w:spacing w:after="200" w:line="240" w:lineRule="auto"/>
        <w:jc w:val="both"/>
        <w:rPr>
          <w:rFonts w:eastAsia="Calibri" w:cstheme="minorHAnsi"/>
          <w:sz w:val="24"/>
          <w:szCs w:val="24"/>
        </w:rPr>
      </w:pPr>
      <w:r w:rsidRPr="008904F2">
        <w:rPr>
          <w:rFonts w:eastAsia="Calibri" w:cstheme="minorHAnsi"/>
          <w:sz w:val="24"/>
          <w:szCs w:val="24"/>
        </w:rPr>
        <w:t>(3) The Authority will review and decide</w:t>
      </w:r>
      <w:r w:rsidR="00ED0E6A">
        <w:rPr>
          <w:rFonts w:eastAsia="Calibri" w:cstheme="minorHAnsi"/>
          <w:sz w:val="24"/>
          <w:szCs w:val="24"/>
        </w:rPr>
        <w:t xml:space="preserve"> upon</w:t>
      </w:r>
      <w:r w:rsidRPr="008904F2">
        <w:rPr>
          <w:rFonts w:eastAsia="Calibri" w:cstheme="minorHAnsi"/>
          <w:sz w:val="24"/>
          <w:szCs w:val="24"/>
        </w:rPr>
        <w:t xml:space="preserve"> the grievance within thirty (30) days and at the end of the review may rescind the order or may issue a new decision notice.</w:t>
      </w:r>
      <w:bookmarkStart w:id="5" w:name="_Hlk160033819"/>
      <w:r w:rsidR="008D4D3F" w:rsidRPr="008D4D3F">
        <w:rPr>
          <w:rFonts w:asciiTheme="minorBidi" w:hAnsiTheme="minorBidi"/>
          <w:sz w:val="21"/>
          <w:szCs w:val="21"/>
          <w:lang w:val="en-GB"/>
        </w:rPr>
        <w:t xml:space="preserve"> </w:t>
      </w:r>
      <w:r w:rsidR="008D4D3F" w:rsidRPr="008D4D3F">
        <w:rPr>
          <w:rFonts w:eastAsia="Calibri" w:cstheme="minorHAnsi"/>
          <w:sz w:val="24"/>
          <w:szCs w:val="24"/>
          <w:lang w:val="en-GB"/>
        </w:rPr>
        <w:t>The expiry of this period without a decision on the grievance will be considered and implicit rejection thereof.</w:t>
      </w:r>
      <w:bookmarkEnd w:id="5"/>
    </w:p>
    <w:p w14:paraId="47912BA8" w14:textId="5E3B4371" w:rsidR="008904F2" w:rsidRDefault="008904F2" w:rsidP="008904F2">
      <w:pPr>
        <w:spacing w:after="200" w:line="240" w:lineRule="auto"/>
        <w:jc w:val="both"/>
        <w:rPr>
          <w:rFonts w:eastAsia="Calibri" w:cstheme="minorHAnsi"/>
          <w:sz w:val="24"/>
          <w:szCs w:val="24"/>
        </w:rPr>
      </w:pPr>
      <w:r w:rsidRPr="008904F2">
        <w:rPr>
          <w:rFonts w:eastAsia="Calibri" w:cstheme="minorHAnsi"/>
          <w:sz w:val="24"/>
          <w:szCs w:val="24"/>
        </w:rPr>
        <w:t xml:space="preserve">(4) The decision notice shall comprise a summary of the </w:t>
      </w:r>
      <w:proofErr w:type="gramStart"/>
      <w:r w:rsidRPr="008904F2">
        <w:rPr>
          <w:rFonts w:eastAsia="Calibri" w:cstheme="minorHAnsi"/>
          <w:sz w:val="24"/>
          <w:szCs w:val="24"/>
        </w:rPr>
        <w:t>subject-matter</w:t>
      </w:r>
      <w:proofErr w:type="gramEnd"/>
      <w:r w:rsidRPr="008904F2">
        <w:rPr>
          <w:rFonts w:eastAsia="Calibri" w:cstheme="minorHAnsi"/>
          <w:sz w:val="24"/>
          <w:szCs w:val="24"/>
        </w:rPr>
        <w:t xml:space="preserve"> of </w:t>
      </w:r>
      <w:proofErr w:type="gramStart"/>
      <w:r w:rsidRPr="008904F2">
        <w:rPr>
          <w:rFonts w:eastAsia="Calibri" w:cstheme="minorHAnsi"/>
          <w:sz w:val="24"/>
          <w:szCs w:val="24"/>
        </w:rPr>
        <w:t>the grievance</w:t>
      </w:r>
      <w:proofErr w:type="gramEnd"/>
      <w:r w:rsidRPr="008904F2">
        <w:rPr>
          <w:rFonts w:eastAsia="Calibri" w:cstheme="minorHAnsi"/>
          <w:sz w:val="24"/>
          <w:szCs w:val="24"/>
        </w:rPr>
        <w:t xml:space="preserve"> and the grounds upon which it is based. The grievant shall be notified, in writing, of a copy of the decision within seven (7) days from the date of its issuance, by the </w:t>
      </w:r>
      <w:r w:rsidR="00ED0E6A">
        <w:rPr>
          <w:rFonts w:eastAsia="Calibri" w:cstheme="minorHAnsi"/>
          <w:sz w:val="24"/>
          <w:szCs w:val="24"/>
        </w:rPr>
        <w:t xml:space="preserve">notification </w:t>
      </w:r>
      <w:r w:rsidRPr="008904F2">
        <w:rPr>
          <w:rFonts w:eastAsia="Calibri" w:cstheme="minorHAnsi"/>
          <w:sz w:val="24"/>
          <w:szCs w:val="24"/>
        </w:rPr>
        <w:t>means as specified in his grievance.</w:t>
      </w:r>
      <w:bookmarkStart w:id="6" w:name="_Hlk36108243"/>
      <w:bookmarkStart w:id="7" w:name="_Ref522101595"/>
      <w:bookmarkStart w:id="8" w:name="_9kR3WTrAG84DFIG6yimp6KOdM47tSa6uqvG7ZdP"/>
      <w:bookmarkStart w:id="9" w:name="_9kR3WTr299569KG6yimp6KOdM47tSa6uqvG7ZdP"/>
      <w:bookmarkStart w:id="10" w:name="_Ref523237748"/>
      <w:bookmarkStart w:id="11" w:name="_Ref527457622"/>
    </w:p>
    <w:p w14:paraId="5CB92C3C" w14:textId="535A58B9" w:rsidR="008D4D3F" w:rsidRPr="008904F2" w:rsidRDefault="008D4D3F" w:rsidP="008D4D3F">
      <w:pPr>
        <w:spacing w:after="200" w:line="240" w:lineRule="auto"/>
        <w:jc w:val="both"/>
        <w:rPr>
          <w:rFonts w:eastAsia="Calibri" w:cstheme="minorHAnsi"/>
          <w:sz w:val="24"/>
          <w:szCs w:val="24"/>
        </w:rPr>
      </w:pPr>
      <w:r>
        <w:rPr>
          <w:rFonts w:eastAsia="Calibri" w:cstheme="minorHAnsi"/>
          <w:sz w:val="24"/>
          <w:szCs w:val="24"/>
        </w:rPr>
        <w:t xml:space="preserve">(5) </w:t>
      </w:r>
      <w:bookmarkStart w:id="12" w:name="_Hlk160033849"/>
      <w:r w:rsidRPr="008D4D3F">
        <w:rPr>
          <w:rFonts w:eastAsia="Calibri" w:cstheme="minorHAnsi"/>
          <w:sz w:val="24"/>
          <w:szCs w:val="24"/>
          <w:lang w:val="en-GB"/>
        </w:rPr>
        <w:t>The decision on the grievance or the implicit rejection, will be final.</w:t>
      </w:r>
      <w:bookmarkEnd w:id="12"/>
    </w:p>
    <w:bookmarkEnd w:id="6"/>
    <w:p w14:paraId="2744A38D" w14:textId="77777777" w:rsidR="008904F2" w:rsidRPr="008904F2" w:rsidRDefault="008904F2" w:rsidP="008904F2">
      <w:pPr>
        <w:spacing w:line="240" w:lineRule="auto"/>
        <w:jc w:val="both"/>
        <w:rPr>
          <w:rFonts w:eastAsia="Calibri" w:cstheme="minorHAnsi"/>
          <w:b/>
          <w:bCs/>
          <w:sz w:val="24"/>
          <w:szCs w:val="24"/>
        </w:rPr>
      </w:pPr>
      <w:r w:rsidRPr="008904F2">
        <w:rPr>
          <w:rFonts w:eastAsia="Calibri" w:cstheme="minorHAnsi"/>
          <w:b/>
          <w:bCs/>
          <w:sz w:val="24"/>
          <w:szCs w:val="24"/>
        </w:rPr>
        <w:t>Article 6- Non-Payment of Sanction and Repeated Contraventions</w:t>
      </w:r>
    </w:p>
    <w:p w14:paraId="0F4311B2" w14:textId="0A4AE165" w:rsidR="008904F2" w:rsidRPr="008904F2" w:rsidRDefault="008904F2" w:rsidP="008904F2">
      <w:pPr>
        <w:spacing w:line="240" w:lineRule="auto"/>
        <w:jc w:val="both"/>
        <w:rPr>
          <w:rFonts w:eastAsia="Calibri" w:cstheme="minorHAnsi"/>
          <w:sz w:val="24"/>
          <w:szCs w:val="24"/>
        </w:rPr>
      </w:pPr>
      <w:r w:rsidRPr="008904F2">
        <w:rPr>
          <w:rFonts w:eastAsia="Calibri" w:cstheme="minorHAnsi"/>
          <w:sz w:val="24"/>
          <w:szCs w:val="24"/>
        </w:rPr>
        <w:t xml:space="preserve">The amount of financial sanction prescribed in the decision notice will be doubled in cases of non-payment of the stipulated sanction within the prescribed time; or </w:t>
      </w:r>
      <w:r w:rsidR="00ED0E6A">
        <w:rPr>
          <w:rFonts w:eastAsia="Calibri" w:cstheme="minorHAnsi"/>
          <w:sz w:val="24"/>
          <w:szCs w:val="24"/>
        </w:rPr>
        <w:t xml:space="preserve">in cases of </w:t>
      </w:r>
      <w:r w:rsidRPr="008904F2">
        <w:rPr>
          <w:rFonts w:eastAsia="Calibri" w:cstheme="minorHAnsi"/>
          <w:sz w:val="24"/>
          <w:szCs w:val="24"/>
        </w:rPr>
        <w:t>a repetition of a contravention which was previously subjected to sanction.</w:t>
      </w:r>
    </w:p>
    <w:p w14:paraId="1B0A995B" w14:textId="77777777" w:rsidR="008904F2" w:rsidRPr="008904F2" w:rsidRDefault="008904F2" w:rsidP="008904F2">
      <w:pPr>
        <w:spacing w:line="240" w:lineRule="auto"/>
        <w:jc w:val="both"/>
        <w:rPr>
          <w:rFonts w:eastAsia="Calibri" w:cstheme="minorHAnsi"/>
          <w:b/>
          <w:bCs/>
          <w:sz w:val="24"/>
          <w:szCs w:val="24"/>
        </w:rPr>
      </w:pPr>
      <w:r w:rsidRPr="008904F2">
        <w:rPr>
          <w:rFonts w:eastAsia="Calibri" w:cstheme="minorHAnsi"/>
          <w:b/>
          <w:bCs/>
          <w:sz w:val="24"/>
          <w:szCs w:val="24"/>
        </w:rPr>
        <w:t>Article 7- Administrative Action</w:t>
      </w:r>
    </w:p>
    <w:bookmarkEnd w:id="7"/>
    <w:bookmarkEnd w:id="8"/>
    <w:bookmarkEnd w:id="9"/>
    <w:bookmarkEnd w:id="10"/>
    <w:bookmarkEnd w:id="11"/>
    <w:p w14:paraId="00A9FAAD" w14:textId="27418A63" w:rsidR="008904F2" w:rsidRPr="008904F2" w:rsidRDefault="008904F2" w:rsidP="008904F2">
      <w:pPr>
        <w:spacing w:after="200" w:line="240" w:lineRule="auto"/>
        <w:jc w:val="both"/>
        <w:rPr>
          <w:rFonts w:eastAsia="Calibri" w:cstheme="minorHAnsi"/>
          <w:sz w:val="24"/>
          <w:szCs w:val="24"/>
        </w:rPr>
      </w:pPr>
      <w:r w:rsidRPr="008904F2">
        <w:rPr>
          <w:rFonts w:eastAsia="Calibri" w:cstheme="minorHAnsi"/>
          <w:sz w:val="24"/>
          <w:szCs w:val="24"/>
        </w:rPr>
        <w:t xml:space="preserve">The imposition of a financial sanction does not in any way prevent the Authority from undertaking administrative action under the Free Zones Legislation, including, without limitation, the capacity of the Authority to suspend or revoke the </w:t>
      </w:r>
      <w:proofErr w:type="spellStart"/>
      <w:r w:rsidR="00ED0E6A">
        <w:rPr>
          <w:rFonts w:eastAsia="Calibri" w:cstheme="minorHAnsi"/>
          <w:sz w:val="24"/>
          <w:szCs w:val="24"/>
        </w:rPr>
        <w:t>Licence</w:t>
      </w:r>
      <w:proofErr w:type="spellEnd"/>
      <w:r w:rsidRPr="008904F2">
        <w:rPr>
          <w:rFonts w:eastAsia="Calibri" w:cstheme="minorHAnsi"/>
          <w:sz w:val="24"/>
          <w:szCs w:val="24"/>
        </w:rPr>
        <w:t>.</w:t>
      </w:r>
      <w:r w:rsidRPr="008904F2">
        <w:rPr>
          <w:rFonts w:cstheme="minorHAnsi"/>
          <w:sz w:val="24"/>
          <w:szCs w:val="24"/>
        </w:rPr>
        <w:t xml:space="preserve"> </w:t>
      </w:r>
      <w:r w:rsidRPr="008904F2">
        <w:rPr>
          <w:rFonts w:eastAsia="Calibri" w:cstheme="minorHAnsi"/>
          <w:sz w:val="24"/>
          <w:szCs w:val="24"/>
        </w:rPr>
        <w:t xml:space="preserve">Any administrative action by the Authority, including revoking or suspending a </w:t>
      </w:r>
      <w:proofErr w:type="spellStart"/>
      <w:r w:rsidR="00ED0E6A">
        <w:rPr>
          <w:rFonts w:eastAsia="Calibri" w:cstheme="minorHAnsi"/>
          <w:sz w:val="24"/>
          <w:szCs w:val="24"/>
        </w:rPr>
        <w:t>Licence</w:t>
      </w:r>
      <w:proofErr w:type="spellEnd"/>
      <w:r w:rsidR="00ED0E6A" w:rsidRPr="008904F2">
        <w:rPr>
          <w:rFonts w:eastAsia="Calibri" w:cstheme="minorHAnsi"/>
          <w:sz w:val="24"/>
          <w:szCs w:val="24"/>
        </w:rPr>
        <w:t xml:space="preserve"> </w:t>
      </w:r>
      <w:r w:rsidRPr="008904F2">
        <w:rPr>
          <w:rFonts w:eastAsia="Calibri" w:cstheme="minorHAnsi"/>
          <w:sz w:val="24"/>
          <w:szCs w:val="24"/>
        </w:rPr>
        <w:t xml:space="preserve">under Free Zones Legislation, is without prejudice to the obligation of the Free Zone Entity to pay any </w:t>
      </w:r>
      <w:proofErr w:type="gramStart"/>
      <w:r w:rsidRPr="008904F2">
        <w:rPr>
          <w:rFonts w:eastAsia="Calibri" w:cstheme="minorHAnsi"/>
          <w:sz w:val="24"/>
          <w:szCs w:val="24"/>
        </w:rPr>
        <w:t>sanctions so</w:t>
      </w:r>
      <w:proofErr w:type="gramEnd"/>
      <w:r w:rsidRPr="008904F2">
        <w:rPr>
          <w:rFonts w:eastAsia="Calibri" w:cstheme="minorHAnsi"/>
          <w:sz w:val="24"/>
          <w:szCs w:val="24"/>
        </w:rPr>
        <w:t xml:space="preserve"> imposed by the Authority.</w:t>
      </w:r>
    </w:p>
    <w:p w14:paraId="138CCA20" w14:textId="77777777" w:rsidR="00C52D8E" w:rsidRPr="003660E0" w:rsidRDefault="00C52D8E" w:rsidP="00C52D8E">
      <w:pPr>
        <w:spacing w:line="240" w:lineRule="auto"/>
        <w:jc w:val="both"/>
        <w:rPr>
          <w:rFonts w:eastAsia="Calibri" w:cstheme="minorHAnsi"/>
          <w:b/>
          <w:bCs/>
          <w:sz w:val="24"/>
          <w:szCs w:val="24"/>
        </w:rPr>
      </w:pPr>
      <w:r w:rsidRPr="003660E0">
        <w:rPr>
          <w:rFonts w:eastAsia="Calibri" w:cstheme="minorHAnsi"/>
          <w:b/>
          <w:bCs/>
          <w:sz w:val="24"/>
          <w:szCs w:val="24"/>
        </w:rPr>
        <w:t xml:space="preserve">Article 8- </w:t>
      </w:r>
      <w:r>
        <w:rPr>
          <w:rFonts w:eastAsia="Calibri" w:cstheme="minorHAnsi"/>
          <w:b/>
          <w:bCs/>
          <w:sz w:val="24"/>
          <w:szCs w:val="24"/>
        </w:rPr>
        <w:t xml:space="preserve">Assessment and </w:t>
      </w:r>
      <w:r w:rsidRPr="003660E0">
        <w:rPr>
          <w:rFonts w:eastAsia="Calibri" w:cstheme="minorHAnsi"/>
          <w:b/>
          <w:bCs/>
          <w:sz w:val="24"/>
          <w:szCs w:val="24"/>
        </w:rPr>
        <w:t>Contraventions not Covered by Schedule</w:t>
      </w:r>
      <w:r>
        <w:rPr>
          <w:rFonts w:eastAsia="Calibri" w:cstheme="minorHAnsi"/>
          <w:b/>
          <w:bCs/>
          <w:sz w:val="24"/>
          <w:szCs w:val="24"/>
        </w:rPr>
        <w:t xml:space="preserve"> 2</w:t>
      </w:r>
    </w:p>
    <w:p w14:paraId="1B32E12E" w14:textId="77777777" w:rsidR="00C52D8E" w:rsidRPr="003660E0" w:rsidRDefault="00C52D8E" w:rsidP="00C52D8E">
      <w:pPr>
        <w:spacing w:line="240" w:lineRule="auto"/>
        <w:jc w:val="both"/>
        <w:rPr>
          <w:rFonts w:eastAsia="Calibri" w:cstheme="minorHAnsi"/>
          <w:sz w:val="24"/>
          <w:szCs w:val="24"/>
        </w:rPr>
      </w:pPr>
      <w:r w:rsidRPr="003660E0">
        <w:rPr>
          <w:rFonts w:eastAsia="Calibri" w:cstheme="minorHAnsi"/>
          <w:sz w:val="24"/>
          <w:szCs w:val="24"/>
        </w:rPr>
        <w:t>(</w:t>
      </w:r>
      <w:r>
        <w:rPr>
          <w:rFonts w:eastAsia="Calibri" w:cstheme="minorHAnsi"/>
          <w:sz w:val="24"/>
          <w:szCs w:val="24"/>
        </w:rPr>
        <w:t>1</w:t>
      </w:r>
      <w:r w:rsidRPr="003660E0">
        <w:rPr>
          <w:rFonts w:eastAsia="Calibri" w:cstheme="minorHAnsi"/>
          <w:sz w:val="24"/>
          <w:szCs w:val="24"/>
        </w:rPr>
        <w:t>) The appropriate sanction and level of discretion may be determined by the Authority considering the following circumstances:</w:t>
      </w:r>
    </w:p>
    <w:p w14:paraId="09F553FE" w14:textId="1866C78B" w:rsidR="00C52D8E" w:rsidRPr="003660E0" w:rsidRDefault="00C52D8E" w:rsidP="00C52D8E">
      <w:pPr>
        <w:numPr>
          <w:ilvl w:val="3"/>
          <w:numId w:val="5"/>
        </w:numPr>
        <w:spacing w:line="240" w:lineRule="auto"/>
        <w:contextualSpacing/>
        <w:jc w:val="both"/>
        <w:rPr>
          <w:rFonts w:eastAsia="Calibri" w:cstheme="minorHAnsi"/>
          <w:sz w:val="24"/>
          <w:szCs w:val="24"/>
        </w:rPr>
      </w:pPr>
      <w:r w:rsidRPr="003660E0">
        <w:rPr>
          <w:rFonts w:eastAsia="Calibri" w:cstheme="minorHAnsi"/>
          <w:sz w:val="24"/>
          <w:szCs w:val="24"/>
        </w:rPr>
        <w:t xml:space="preserve">seriousness and consequences of the contravention; location, severity, quantity, extent and duration of the impact, or potential impact, of the alleged contravention; the potential of the contravention to have a wider impact on proper operation of the Free Zones; costs avoided, or profits </w:t>
      </w:r>
      <w:proofErr w:type="spellStart"/>
      <w:r w:rsidRPr="003660E0">
        <w:rPr>
          <w:rFonts w:eastAsia="Calibri" w:cstheme="minorHAnsi"/>
          <w:sz w:val="24"/>
          <w:szCs w:val="24"/>
        </w:rPr>
        <w:t>reali</w:t>
      </w:r>
      <w:r w:rsidR="00ED0E6A">
        <w:rPr>
          <w:rFonts w:eastAsia="Calibri" w:cstheme="minorHAnsi"/>
          <w:sz w:val="24"/>
          <w:szCs w:val="24"/>
        </w:rPr>
        <w:t>s</w:t>
      </w:r>
      <w:r w:rsidRPr="003660E0">
        <w:rPr>
          <w:rFonts w:eastAsia="Calibri" w:cstheme="minorHAnsi"/>
          <w:sz w:val="24"/>
          <w:szCs w:val="24"/>
        </w:rPr>
        <w:t>ed</w:t>
      </w:r>
      <w:proofErr w:type="spellEnd"/>
      <w:r w:rsidRPr="003660E0">
        <w:rPr>
          <w:rFonts w:eastAsia="Calibri" w:cstheme="minorHAnsi"/>
          <w:sz w:val="24"/>
          <w:szCs w:val="24"/>
        </w:rPr>
        <w:t xml:space="preserve"> by the alleged contravention; the degree of culpability of the alleged offender; issues of public concern, including the need for specific and general deterrence;</w:t>
      </w:r>
    </w:p>
    <w:p w14:paraId="23A3E62E" w14:textId="77777777" w:rsidR="00C52D8E" w:rsidRPr="003660E0" w:rsidRDefault="00C52D8E" w:rsidP="00C52D8E">
      <w:pPr>
        <w:numPr>
          <w:ilvl w:val="3"/>
          <w:numId w:val="5"/>
        </w:numPr>
        <w:spacing w:line="240" w:lineRule="auto"/>
        <w:jc w:val="both"/>
        <w:rPr>
          <w:rFonts w:eastAsia="Calibri" w:cstheme="minorHAnsi"/>
          <w:sz w:val="24"/>
          <w:szCs w:val="24"/>
        </w:rPr>
      </w:pPr>
      <w:r w:rsidRPr="003660E0">
        <w:rPr>
          <w:rFonts w:eastAsia="Calibri" w:cstheme="minorHAnsi"/>
          <w:sz w:val="24"/>
          <w:szCs w:val="24"/>
        </w:rPr>
        <w:t xml:space="preserve">behavior of the offender regarding the contravention, cooperation with the Authority and willingness to commit to appropriate remedial actions; whether the contravention was intentional or reckless; any voluntary action by the offender to mitigate harm, and any mechanisms implemented to prevent any recurrence; </w:t>
      </w:r>
    </w:p>
    <w:p w14:paraId="61C2414F" w14:textId="77777777" w:rsidR="00C52D8E" w:rsidRPr="003660E0" w:rsidRDefault="00C52D8E" w:rsidP="00C52D8E">
      <w:pPr>
        <w:numPr>
          <w:ilvl w:val="3"/>
          <w:numId w:val="5"/>
        </w:numPr>
        <w:spacing w:line="240" w:lineRule="auto"/>
        <w:jc w:val="both"/>
        <w:rPr>
          <w:rFonts w:eastAsia="Calibri" w:cstheme="minorHAnsi"/>
          <w:sz w:val="24"/>
          <w:szCs w:val="24"/>
        </w:rPr>
      </w:pPr>
      <w:r w:rsidRPr="003660E0">
        <w:rPr>
          <w:rFonts w:eastAsia="Calibri" w:cstheme="minorHAnsi"/>
          <w:sz w:val="24"/>
          <w:szCs w:val="24"/>
        </w:rPr>
        <w:t xml:space="preserve">previous history of alleged offender with regard to compliance with legislation and frequency and seriousness of any past contraventions; </w:t>
      </w:r>
    </w:p>
    <w:p w14:paraId="7450624A" w14:textId="3BA6A08F" w:rsidR="00C52D8E" w:rsidRPr="003660E0" w:rsidRDefault="00C52D8E" w:rsidP="00C52D8E">
      <w:pPr>
        <w:numPr>
          <w:ilvl w:val="3"/>
          <w:numId w:val="5"/>
        </w:numPr>
        <w:spacing w:line="240" w:lineRule="auto"/>
        <w:jc w:val="both"/>
        <w:rPr>
          <w:rFonts w:eastAsia="Calibri" w:cstheme="minorHAnsi"/>
          <w:sz w:val="24"/>
          <w:szCs w:val="24"/>
        </w:rPr>
      </w:pPr>
      <w:r w:rsidRPr="003660E0">
        <w:rPr>
          <w:rFonts w:eastAsia="Calibri" w:cstheme="minorHAnsi"/>
          <w:sz w:val="24"/>
          <w:szCs w:val="24"/>
        </w:rPr>
        <w:t>moral repugnance associated with the contravention;</w:t>
      </w:r>
      <w:r w:rsidR="00ED0E6A">
        <w:rPr>
          <w:rFonts w:eastAsia="Calibri" w:cstheme="minorHAnsi"/>
          <w:sz w:val="24"/>
          <w:szCs w:val="24"/>
        </w:rPr>
        <w:t xml:space="preserve"> and</w:t>
      </w:r>
    </w:p>
    <w:p w14:paraId="4AD7B4FB" w14:textId="77777777" w:rsidR="00C52D8E" w:rsidRPr="003660E0" w:rsidRDefault="00C52D8E" w:rsidP="00C52D8E">
      <w:pPr>
        <w:numPr>
          <w:ilvl w:val="3"/>
          <w:numId w:val="5"/>
        </w:numPr>
        <w:spacing w:line="240" w:lineRule="auto"/>
        <w:jc w:val="both"/>
        <w:rPr>
          <w:rFonts w:eastAsia="Calibri" w:cstheme="minorHAnsi"/>
          <w:sz w:val="24"/>
          <w:szCs w:val="24"/>
        </w:rPr>
      </w:pPr>
      <w:r w:rsidRPr="003660E0">
        <w:rPr>
          <w:rFonts w:eastAsia="Calibri" w:cstheme="minorHAnsi"/>
          <w:sz w:val="24"/>
          <w:szCs w:val="24"/>
        </w:rPr>
        <w:t>aggravating, mitigating or other relevant factors.</w:t>
      </w:r>
    </w:p>
    <w:p w14:paraId="5046E403" w14:textId="77777777" w:rsidR="00C52D8E" w:rsidRPr="003660E0" w:rsidRDefault="00C52D8E" w:rsidP="00C52D8E">
      <w:pPr>
        <w:spacing w:line="240" w:lineRule="auto"/>
        <w:jc w:val="both"/>
        <w:rPr>
          <w:rFonts w:eastAsia="Calibri" w:cstheme="minorHAnsi"/>
          <w:sz w:val="24"/>
          <w:szCs w:val="24"/>
        </w:rPr>
      </w:pPr>
      <w:r w:rsidRPr="003660E0">
        <w:rPr>
          <w:rFonts w:eastAsia="Calibri" w:cstheme="minorHAnsi"/>
          <w:sz w:val="24"/>
          <w:szCs w:val="24"/>
        </w:rPr>
        <w:t>(</w:t>
      </w:r>
      <w:r>
        <w:rPr>
          <w:rFonts w:eastAsia="Calibri" w:cstheme="minorHAnsi"/>
          <w:sz w:val="24"/>
          <w:szCs w:val="24"/>
        </w:rPr>
        <w:t>2</w:t>
      </w:r>
      <w:r w:rsidRPr="003660E0">
        <w:rPr>
          <w:rFonts w:eastAsia="Calibri" w:cstheme="minorHAnsi"/>
          <w:sz w:val="24"/>
          <w:szCs w:val="24"/>
        </w:rPr>
        <w:t>) The list of factors for the assessment is not exhaustive and not all the factors will apply in every case, and the weighting the Authority gives to each will depend on the particular circumstances and situation.</w:t>
      </w:r>
    </w:p>
    <w:p w14:paraId="4AA63755" w14:textId="7AF97D45" w:rsidR="00C52D8E" w:rsidRPr="003660E0" w:rsidRDefault="00C52D8E" w:rsidP="00C52D8E">
      <w:pPr>
        <w:spacing w:line="240" w:lineRule="auto"/>
        <w:jc w:val="both"/>
        <w:rPr>
          <w:rFonts w:eastAsia="Calibri" w:cstheme="minorHAnsi"/>
          <w:sz w:val="24"/>
          <w:szCs w:val="24"/>
        </w:rPr>
      </w:pPr>
      <w:r w:rsidRPr="003660E0">
        <w:rPr>
          <w:rFonts w:eastAsia="Calibri" w:cstheme="minorHAnsi"/>
          <w:sz w:val="24"/>
          <w:szCs w:val="24"/>
        </w:rPr>
        <w:t>(</w:t>
      </w:r>
      <w:r>
        <w:rPr>
          <w:rFonts w:eastAsia="Calibri" w:cstheme="minorHAnsi"/>
          <w:sz w:val="24"/>
          <w:szCs w:val="24"/>
        </w:rPr>
        <w:t>3</w:t>
      </w:r>
      <w:r w:rsidRPr="003660E0">
        <w:rPr>
          <w:rFonts w:eastAsia="Calibri" w:cstheme="minorHAnsi"/>
          <w:sz w:val="24"/>
          <w:szCs w:val="24"/>
        </w:rPr>
        <w:t xml:space="preserve">) Where a contravention of any provision of the Regulations is not explicitly covered in the annexed Table of Financial Sanctions, the Authority may charge an appropriate financial sanction </w:t>
      </w:r>
      <w:r w:rsidR="00ED0E6A">
        <w:rPr>
          <w:rFonts w:eastAsia="Calibri" w:cstheme="minorHAnsi"/>
          <w:sz w:val="24"/>
          <w:szCs w:val="24"/>
        </w:rPr>
        <w:t xml:space="preserve">of </w:t>
      </w:r>
      <w:r w:rsidRPr="003660E0">
        <w:rPr>
          <w:rFonts w:eastAsia="Calibri" w:cstheme="minorHAnsi"/>
          <w:sz w:val="24"/>
          <w:szCs w:val="24"/>
        </w:rPr>
        <w:t>up to ten thousand (10,000) QAR.</w:t>
      </w:r>
    </w:p>
    <w:p w14:paraId="166945A7" w14:textId="77777777" w:rsidR="008904F2" w:rsidRPr="008904F2" w:rsidRDefault="008904F2" w:rsidP="008904F2">
      <w:pPr>
        <w:spacing w:line="240" w:lineRule="auto"/>
        <w:jc w:val="both"/>
        <w:rPr>
          <w:rFonts w:eastAsia="Calibri" w:cstheme="minorHAnsi"/>
          <w:b/>
          <w:bCs/>
          <w:sz w:val="24"/>
          <w:szCs w:val="24"/>
        </w:rPr>
      </w:pPr>
      <w:r w:rsidRPr="008904F2">
        <w:rPr>
          <w:rFonts w:eastAsia="Calibri" w:cstheme="minorHAnsi"/>
          <w:b/>
          <w:bCs/>
          <w:sz w:val="24"/>
          <w:szCs w:val="24"/>
        </w:rPr>
        <w:t>Article 9- Prescribed Sanctions</w:t>
      </w:r>
    </w:p>
    <w:p w14:paraId="5FA1D0D6" w14:textId="77777777" w:rsidR="008904F2" w:rsidRPr="008904F2" w:rsidRDefault="008904F2" w:rsidP="008904F2">
      <w:pPr>
        <w:spacing w:line="240" w:lineRule="auto"/>
        <w:jc w:val="both"/>
        <w:rPr>
          <w:rFonts w:eastAsia="Calibri" w:cstheme="minorHAnsi"/>
          <w:sz w:val="24"/>
          <w:szCs w:val="24"/>
        </w:rPr>
      </w:pPr>
      <w:r w:rsidRPr="008904F2">
        <w:rPr>
          <w:rFonts w:eastAsia="Calibri" w:cstheme="minorHAnsi"/>
          <w:sz w:val="24"/>
          <w:szCs w:val="24"/>
        </w:rPr>
        <w:t>The financial sanction corresponding to contraventions of provisions of respective regulations are listed in the annexed Table of Financial Sanctions.</w:t>
      </w:r>
    </w:p>
    <w:p w14:paraId="5DD59248" w14:textId="77777777" w:rsidR="008904F2" w:rsidRPr="008904F2" w:rsidRDefault="008904F2" w:rsidP="008904F2">
      <w:pPr>
        <w:rPr>
          <w:rFonts w:cstheme="minorHAnsi"/>
          <w:b/>
          <w:bCs/>
          <w:sz w:val="24"/>
          <w:szCs w:val="24"/>
        </w:rPr>
      </w:pPr>
      <w:r w:rsidRPr="008904F2">
        <w:rPr>
          <w:rFonts w:cstheme="minorHAnsi"/>
          <w:b/>
          <w:bCs/>
          <w:sz w:val="24"/>
          <w:szCs w:val="24"/>
        </w:rPr>
        <w:br w:type="page"/>
      </w:r>
    </w:p>
    <w:p w14:paraId="6559CD9D" w14:textId="77777777" w:rsidR="008904F2" w:rsidRPr="008904F2" w:rsidRDefault="008904F2" w:rsidP="008904F2">
      <w:pPr>
        <w:spacing w:line="240" w:lineRule="auto"/>
        <w:jc w:val="both"/>
        <w:rPr>
          <w:rFonts w:cstheme="minorHAnsi"/>
          <w:b/>
          <w:bCs/>
          <w:sz w:val="24"/>
          <w:szCs w:val="24"/>
        </w:rPr>
      </w:pPr>
    </w:p>
    <w:p w14:paraId="4131EABC" w14:textId="77777777" w:rsidR="008904F2" w:rsidRPr="008904F2" w:rsidRDefault="008904F2" w:rsidP="008904F2">
      <w:pPr>
        <w:keepNext/>
        <w:keepLines/>
        <w:jc w:val="center"/>
        <w:rPr>
          <w:b/>
          <w:bCs/>
          <w:sz w:val="28"/>
          <w:szCs w:val="28"/>
          <w:lang w:val="en-GB"/>
        </w:rPr>
      </w:pPr>
      <w:r w:rsidRPr="008904F2">
        <w:rPr>
          <w:b/>
          <w:bCs/>
          <w:sz w:val="28"/>
          <w:szCs w:val="28"/>
          <w:lang w:val="en-GB"/>
        </w:rPr>
        <w:t>Annex- Table of Financial Sanctions</w:t>
      </w:r>
    </w:p>
    <w:p w14:paraId="3306FAF3" w14:textId="77777777" w:rsidR="008904F2" w:rsidRPr="008904F2" w:rsidRDefault="008904F2" w:rsidP="008904F2">
      <w:pPr>
        <w:keepNext/>
        <w:keepLines/>
        <w:rPr>
          <w:lang w:val="en-GB"/>
        </w:rPr>
      </w:pPr>
    </w:p>
    <w:tbl>
      <w:tblPr>
        <w:tblStyle w:val="TableGrid"/>
        <w:tblW w:w="0" w:type="auto"/>
        <w:tblLook w:val="04A0" w:firstRow="1" w:lastRow="0" w:firstColumn="1" w:lastColumn="0" w:noHBand="0" w:noVBand="1"/>
      </w:tblPr>
      <w:tblGrid>
        <w:gridCol w:w="2192"/>
        <w:gridCol w:w="5322"/>
        <w:gridCol w:w="1836"/>
      </w:tblGrid>
      <w:tr w:rsidR="008904F2" w:rsidRPr="008904F2" w14:paraId="695431DF" w14:textId="77777777" w:rsidTr="005711A1">
        <w:tc>
          <w:tcPr>
            <w:tcW w:w="2192" w:type="dxa"/>
          </w:tcPr>
          <w:p w14:paraId="2DD60F26" w14:textId="77777777" w:rsidR="008904F2" w:rsidRPr="008904F2" w:rsidRDefault="008904F2" w:rsidP="008904F2">
            <w:pPr>
              <w:rPr>
                <w:lang w:val="en-GB"/>
              </w:rPr>
            </w:pPr>
            <w:r w:rsidRPr="008904F2">
              <w:rPr>
                <w:rFonts w:cstheme="minorHAnsi"/>
                <w:b/>
                <w:bCs/>
                <w:lang w:val="en-GB"/>
              </w:rPr>
              <w:t>Article of The Regulations</w:t>
            </w:r>
          </w:p>
        </w:tc>
        <w:tc>
          <w:tcPr>
            <w:tcW w:w="5322" w:type="dxa"/>
          </w:tcPr>
          <w:p w14:paraId="080FFA9A" w14:textId="77777777" w:rsidR="008904F2" w:rsidRPr="008904F2" w:rsidRDefault="008904F2" w:rsidP="008904F2">
            <w:pPr>
              <w:rPr>
                <w:lang w:val="en-GB"/>
              </w:rPr>
            </w:pPr>
            <w:r w:rsidRPr="008904F2">
              <w:rPr>
                <w:rFonts w:cstheme="minorHAnsi"/>
                <w:b/>
                <w:bCs/>
                <w:lang w:val="en-GB"/>
              </w:rPr>
              <w:t>Nature of Contravention</w:t>
            </w:r>
          </w:p>
        </w:tc>
        <w:tc>
          <w:tcPr>
            <w:tcW w:w="1836" w:type="dxa"/>
          </w:tcPr>
          <w:p w14:paraId="680D9898" w14:textId="77777777" w:rsidR="008904F2" w:rsidRPr="008904F2" w:rsidRDefault="008904F2" w:rsidP="008904F2">
            <w:pPr>
              <w:rPr>
                <w:rFonts w:cstheme="minorHAnsi"/>
                <w:b/>
                <w:bCs/>
                <w:lang w:val="en-GB"/>
              </w:rPr>
            </w:pPr>
            <w:r w:rsidRPr="008904F2">
              <w:rPr>
                <w:rFonts w:cstheme="minorHAnsi"/>
                <w:b/>
                <w:bCs/>
                <w:lang w:val="en-GB"/>
              </w:rPr>
              <w:t>Maximum Financial Sanction for Each Contravention (QAR)</w:t>
            </w:r>
          </w:p>
          <w:p w14:paraId="6CA3F754" w14:textId="77777777" w:rsidR="008904F2" w:rsidRPr="008904F2" w:rsidRDefault="008904F2" w:rsidP="008904F2">
            <w:pPr>
              <w:rPr>
                <w:lang w:val="en-GB"/>
              </w:rPr>
            </w:pPr>
          </w:p>
        </w:tc>
      </w:tr>
      <w:tr w:rsidR="00FD3DA5" w:rsidRPr="008904F2" w14:paraId="25E902A8" w14:textId="77777777" w:rsidTr="005711A1">
        <w:tc>
          <w:tcPr>
            <w:tcW w:w="2192" w:type="dxa"/>
          </w:tcPr>
          <w:p w14:paraId="6AFB57D9" w14:textId="43000D23" w:rsidR="00FD3DA5" w:rsidRPr="008904F2" w:rsidRDefault="00FD3DA5" w:rsidP="00FD3DA5">
            <w:pPr>
              <w:rPr>
                <w:lang w:val="en-GB"/>
              </w:rPr>
            </w:pPr>
            <w:r w:rsidRPr="00564BB1">
              <w:rPr>
                <w:rFonts w:cs="Arial"/>
              </w:rPr>
              <w:t>6(1)</w:t>
            </w:r>
          </w:p>
        </w:tc>
        <w:tc>
          <w:tcPr>
            <w:tcW w:w="5322" w:type="dxa"/>
          </w:tcPr>
          <w:p w14:paraId="47660762" w14:textId="3B70BD0A" w:rsidR="00FD3DA5" w:rsidRPr="008904F2" w:rsidRDefault="00FD3DA5" w:rsidP="00FD3DA5">
            <w:pPr>
              <w:rPr>
                <w:lang w:val="en-GB"/>
              </w:rPr>
            </w:pPr>
            <w:r w:rsidRPr="00564BB1">
              <w:rPr>
                <w:rFonts w:cs="Arial"/>
              </w:rPr>
              <w:t xml:space="preserve">Carrying out Permitted Activities without a </w:t>
            </w:r>
            <w:proofErr w:type="spellStart"/>
            <w:r w:rsidRPr="00564BB1">
              <w:rPr>
                <w:rFonts w:cs="Arial"/>
              </w:rPr>
              <w:t>Licence</w:t>
            </w:r>
            <w:proofErr w:type="spellEnd"/>
            <w:r w:rsidRPr="00564BB1">
              <w:rPr>
                <w:rFonts w:cs="Arial"/>
              </w:rPr>
              <w:t xml:space="preserve"> </w:t>
            </w:r>
          </w:p>
        </w:tc>
        <w:tc>
          <w:tcPr>
            <w:tcW w:w="1836" w:type="dxa"/>
          </w:tcPr>
          <w:p w14:paraId="303615A4" w14:textId="6F10EC37" w:rsidR="00FD3DA5" w:rsidRPr="008904F2" w:rsidRDefault="00FD3DA5" w:rsidP="00FD3DA5">
            <w:pPr>
              <w:rPr>
                <w:lang w:val="en-GB"/>
              </w:rPr>
            </w:pPr>
            <w:r w:rsidRPr="00564BB1">
              <w:rPr>
                <w:rFonts w:cs="Arial"/>
              </w:rPr>
              <w:t>10,000</w:t>
            </w:r>
          </w:p>
        </w:tc>
      </w:tr>
      <w:tr w:rsidR="00FD3DA5" w:rsidRPr="008904F2" w14:paraId="52A20C1F" w14:textId="77777777" w:rsidTr="005711A1">
        <w:tc>
          <w:tcPr>
            <w:tcW w:w="2192" w:type="dxa"/>
          </w:tcPr>
          <w:p w14:paraId="7717A4D8" w14:textId="7404D286" w:rsidR="00FD3DA5" w:rsidRPr="008904F2" w:rsidRDefault="00FD3DA5" w:rsidP="00FD3DA5">
            <w:pPr>
              <w:rPr>
                <w:lang w:val="en-GB"/>
              </w:rPr>
            </w:pPr>
            <w:r w:rsidRPr="00564BB1">
              <w:rPr>
                <w:rFonts w:cs="Arial"/>
              </w:rPr>
              <w:t>12(1), 11(1)h</w:t>
            </w:r>
          </w:p>
        </w:tc>
        <w:tc>
          <w:tcPr>
            <w:tcW w:w="5322" w:type="dxa"/>
          </w:tcPr>
          <w:p w14:paraId="611BED0D" w14:textId="5E98F96D" w:rsidR="00FD3DA5" w:rsidRPr="008904F2" w:rsidRDefault="00FD3DA5" w:rsidP="00FD3DA5">
            <w:pPr>
              <w:rPr>
                <w:lang w:val="en-GB"/>
              </w:rPr>
            </w:pPr>
            <w:r w:rsidRPr="00564BB1">
              <w:rPr>
                <w:rFonts w:cs="Arial"/>
              </w:rPr>
              <w:t>Carrying out activities of a different nature or category to that of the Permitted Activity</w:t>
            </w:r>
          </w:p>
        </w:tc>
        <w:tc>
          <w:tcPr>
            <w:tcW w:w="1836" w:type="dxa"/>
          </w:tcPr>
          <w:p w14:paraId="0761EBDC" w14:textId="2DA5A3B0" w:rsidR="00FD3DA5" w:rsidRPr="008904F2" w:rsidRDefault="00FD3DA5" w:rsidP="00FD3DA5">
            <w:pPr>
              <w:rPr>
                <w:lang w:val="en-GB"/>
              </w:rPr>
            </w:pPr>
            <w:r w:rsidRPr="00564BB1">
              <w:rPr>
                <w:rFonts w:cs="Arial"/>
              </w:rPr>
              <w:t>2,000</w:t>
            </w:r>
          </w:p>
        </w:tc>
      </w:tr>
      <w:tr w:rsidR="00FD3DA5" w:rsidRPr="008904F2" w14:paraId="71012F75" w14:textId="77777777" w:rsidTr="005711A1">
        <w:tc>
          <w:tcPr>
            <w:tcW w:w="2192" w:type="dxa"/>
          </w:tcPr>
          <w:p w14:paraId="2DB7D9C1" w14:textId="46856FA7" w:rsidR="00FD3DA5" w:rsidRPr="008904F2" w:rsidRDefault="00FD3DA5" w:rsidP="00FD3DA5">
            <w:pPr>
              <w:rPr>
                <w:lang w:val="en-GB"/>
              </w:rPr>
            </w:pPr>
            <w:r w:rsidRPr="00564BB1">
              <w:t>10(2)</w:t>
            </w:r>
          </w:p>
        </w:tc>
        <w:tc>
          <w:tcPr>
            <w:tcW w:w="5322" w:type="dxa"/>
          </w:tcPr>
          <w:p w14:paraId="01298873" w14:textId="081935E9" w:rsidR="00FD3DA5" w:rsidRPr="008904F2" w:rsidRDefault="00FD3DA5" w:rsidP="00FD3DA5">
            <w:pPr>
              <w:rPr>
                <w:lang w:val="en-GB"/>
              </w:rPr>
            </w:pPr>
            <w:r w:rsidRPr="00564BB1">
              <w:t xml:space="preserve">Failure to comply with annual </w:t>
            </w:r>
            <w:proofErr w:type="spellStart"/>
            <w:r w:rsidRPr="00564BB1">
              <w:t>Licence</w:t>
            </w:r>
            <w:proofErr w:type="spellEnd"/>
            <w:r w:rsidRPr="00564BB1">
              <w:t xml:space="preserve"> </w:t>
            </w:r>
            <w:r w:rsidRPr="002D6D16">
              <w:t xml:space="preserve">renewal </w:t>
            </w:r>
            <w:r w:rsidRPr="00564BB1">
              <w:t>requirements</w:t>
            </w:r>
          </w:p>
        </w:tc>
        <w:tc>
          <w:tcPr>
            <w:tcW w:w="1836" w:type="dxa"/>
          </w:tcPr>
          <w:p w14:paraId="31645442" w14:textId="4A35CFC2" w:rsidR="00FD3DA5" w:rsidRPr="008904F2" w:rsidRDefault="00FD3DA5" w:rsidP="00FD3DA5">
            <w:pPr>
              <w:rPr>
                <w:lang w:val="en-GB"/>
              </w:rPr>
            </w:pPr>
            <w:r w:rsidRPr="00564BB1">
              <w:t>2,000</w:t>
            </w:r>
          </w:p>
        </w:tc>
      </w:tr>
      <w:tr w:rsidR="00FD3DA5" w:rsidRPr="008904F2" w14:paraId="2633B9E3" w14:textId="77777777" w:rsidTr="005711A1">
        <w:tc>
          <w:tcPr>
            <w:tcW w:w="2192" w:type="dxa"/>
          </w:tcPr>
          <w:p w14:paraId="55868BC8" w14:textId="780D6493" w:rsidR="00FD3DA5" w:rsidRPr="008904F2" w:rsidRDefault="00FD3DA5" w:rsidP="00FD3DA5">
            <w:pPr>
              <w:rPr>
                <w:lang w:val="en-GB"/>
              </w:rPr>
            </w:pPr>
            <w:r w:rsidRPr="00564BB1">
              <w:t xml:space="preserve">12(1), 11(1)d </w:t>
            </w:r>
          </w:p>
        </w:tc>
        <w:tc>
          <w:tcPr>
            <w:tcW w:w="5322" w:type="dxa"/>
          </w:tcPr>
          <w:p w14:paraId="25AD6C06" w14:textId="2498D3A1" w:rsidR="00FD3DA5" w:rsidRPr="008904F2" w:rsidRDefault="00FD3DA5" w:rsidP="00FD3DA5">
            <w:pPr>
              <w:rPr>
                <w:lang w:val="en-GB"/>
              </w:rPr>
            </w:pPr>
            <w:r w:rsidRPr="00564BB1">
              <w:rPr>
                <w:bCs/>
              </w:rPr>
              <w:t>Furnishing misleading or inaccurate information to the Authority</w:t>
            </w:r>
          </w:p>
        </w:tc>
        <w:tc>
          <w:tcPr>
            <w:tcW w:w="1836" w:type="dxa"/>
          </w:tcPr>
          <w:p w14:paraId="0915D908" w14:textId="15FB95A4" w:rsidR="00FD3DA5" w:rsidRPr="008904F2" w:rsidRDefault="00FD3DA5" w:rsidP="00FD3DA5">
            <w:pPr>
              <w:rPr>
                <w:lang w:val="en-GB"/>
              </w:rPr>
            </w:pPr>
            <w:r w:rsidRPr="00564BB1">
              <w:t>10,000</w:t>
            </w:r>
          </w:p>
        </w:tc>
      </w:tr>
      <w:tr w:rsidR="00FD3DA5" w:rsidRPr="008904F2" w14:paraId="69A3E453" w14:textId="77777777" w:rsidTr="005711A1">
        <w:tc>
          <w:tcPr>
            <w:tcW w:w="2192" w:type="dxa"/>
          </w:tcPr>
          <w:p w14:paraId="296EF2DD" w14:textId="34D84C05" w:rsidR="00FD3DA5" w:rsidRPr="008904F2" w:rsidRDefault="00FD3DA5" w:rsidP="00FD3DA5">
            <w:pPr>
              <w:rPr>
                <w:lang w:val="en-GB"/>
              </w:rPr>
            </w:pPr>
            <w:r w:rsidRPr="00564BB1">
              <w:t xml:space="preserve">12(1), 11(1)e </w:t>
            </w:r>
          </w:p>
        </w:tc>
        <w:tc>
          <w:tcPr>
            <w:tcW w:w="5322" w:type="dxa"/>
          </w:tcPr>
          <w:p w14:paraId="2067C102" w14:textId="2D44B4E3" w:rsidR="00FD3DA5" w:rsidRPr="008904F2" w:rsidRDefault="00FD3DA5" w:rsidP="00FD3DA5">
            <w:pPr>
              <w:rPr>
                <w:lang w:val="en-GB"/>
              </w:rPr>
            </w:pPr>
            <w:r w:rsidRPr="00564BB1">
              <w:rPr>
                <w:bCs/>
              </w:rPr>
              <w:t xml:space="preserve">Usage of facility without valid Lease </w:t>
            </w:r>
          </w:p>
        </w:tc>
        <w:tc>
          <w:tcPr>
            <w:tcW w:w="1836" w:type="dxa"/>
          </w:tcPr>
          <w:p w14:paraId="47643075" w14:textId="3FDC22AF" w:rsidR="00FD3DA5" w:rsidRPr="008904F2" w:rsidRDefault="00FD3DA5" w:rsidP="00FD3DA5">
            <w:pPr>
              <w:rPr>
                <w:lang w:val="en-GB"/>
              </w:rPr>
            </w:pPr>
            <w:r w:rsidRPr="00564BB1">
              <w:t>10,000</w:t>
            </w:r>
          </w:p>
        </w:tc>
      </w:tr>
      <w:tr w:rsidR="00FD3DA5" w:rsidRPr="008904F2" w14:paraId="367E591A" w14:textId="77777777" w:rsidTr="005711A1">
        <w:tc>
          <w:tcPr>
            <w:tcW w:w="2192" w:type="dxa"/>
          </w:tcPr>
          <w:p w14:paraId="4F7B2C9A" w14:textId="68E935F4" w:rsidR="00FD3DA5" w:rsidRPr="008904F2" w:rsidRDefault="00FD3DA5" w:rsidP="00FD3DA5">
            <w:r>
              <w:t>15</w:t>
            </w:r>
          </w:p>
        </w:tc>
        <w:tc>
          <w:tcPr>
            <w:tcW w:w="5322" w:type="dxa"/>
          </w:tcPr>
          <w:p w14:paraId="436AF1BA" w14:textId="4CD7A441" w:rsidR="00FD3DA5" w:rsidRPr="008904F2" w:rsidRDefault="00FD3DA5" w:rsidP="00FD3DA5">
            <w:r w:rsidRPr="00E314FD">
              <w:t>Failure to facilitate the exercise of power of the Authority to collect information and documentation</w:t>
            </w:r>
          </w:p>
        </w:tc>
        <w:tc>
          <w:tcPr>
            <w:tcW w:w="1836" w:type="dxa"/>
          </w:tcPr>
          <w:p w14:paraId="78C847FB" w14:textId="07C541A3" w:rsidR="00FD3DA5" w:rsidRPr="008904F2" w:rsidRDefault="00FD3DA5" w:rsidP="00FD3DA5">
            <w:r>
              <w:t>10,000</w:t>
            </w:r>
          </w:p>
        </w:tc>
      </w:tr>
      <w:tr w:rsidR="00FD3DA5" w:rsidRPr="008904F2" w14:paraId="3A880D73" w14:textId="77777777" w:rsidTr="005711A1">
        <w:tc>
          <w:tcPr>
            <w:tcW w:w="2192" w:type="dxa"/>
          </w:tcPr>
          <w:p w14:paraId="282D0A19" w14:textId="55C7BF2F" w:rsidR="00FD3DA5" w:rsidRPr="008904F2" w:rsidRDefault="00FD3DA5" w:rsidP="00FD3DA5">
            <w:r>
              <w:t>16</w:t>
            </w:r>
          </w:p>
        </w:tc>
        <w:tc>
          <w:tcPr>
            <w:tcW w:w="5322" w:type="dxa"/>
          </w:tcPr>
          <w:p w14:paraId="62E917C7" w14:textId="31AEBE97" w:rsidR="00FD3DA5" w:rsidRPr="008904F2" w:rsidRDefault="00FD3DA5" w:rsidP="00FD3DA5">
            <w:r w:rsidRPr="009F5019">
              <w:t xml:space="preserve">Failure to allow the investigator(s) to enter the registered office of or any business premises </w:t>
            </w:r>
          </w:p>
        </w:tc>
        <w:tc>
          <w:tcPr>
            <w:tcW w:w="1836" w:type="dxa"/>
          </w:tcPr>
          <w:p w14:paraId="23421E10" w14:textId="17D270E3" w:rsidR="00FD3DA5" w:rsidRPr="008904F2" w:rsidRDefault="00FD3DA5" w:rsidP="00FD3DA5">
            <w:r>
              <w:t>10,000</w:t>
            </w:r>
          </w:p>
        </w:tc>
      </w:tr>
      <w:tr w:rsidR="00FD3DA5" w:rsidRPr="008904F2" w14:paraId="041180DB" w14:textId="77777777" w:rsidTr="005711A1">
        <w:tc>
          <w:tcPr>
            <w:tcW w:w="2192" w:type="dxa"/>
          </w:tcPr>
          <w:p w14:paraId="1078D31E" w14:textId="6AFE5D57" w:rsidR="00FD3DA5" w:rsidRPr="008904F2" w:rsidRDefault="00FD3DA5" w:rsidP="00FD3DA5">
            <w:r>
              <w:t>17</w:t>
            </w:r>
            <w:r w:rsidRPr="009F5019">
              <w:t>/2</w:t>
            </w:r>
          </w:p>
        </w:tc>
        <w:tc>
          <w:tcPr>
            <w:tcW w:w="5322" w:type="dxa"/>
          </w:tcPr>
          <w:p w14:paraId="0647CD51" w14:textId="0DE3BBB5" w:rsidR="00FD3DA5" w:rsidRPr="008904F2" w:rsidRDefault="00FD3DA5" w:rsidP="00FD3DA5">
            <w:r>
              <w:t>U</w:t>
            </w:r>
            <w:r w:rsidRPr="009F5019">
              <w:t>s</w:t>
            </w:r>
            <w:r>
              <w:t>ing</w:t>
            </w:r>
            <w:r w:rsidRPr="009F5019">
              <w:t xml:space="preserve"> </w:t>
            </w:r>
            <w:r>
              <w:t>a misleading</w:t>
            </w:r>
            <w:r w:rsidRPr="009F5019">
              <w:t xml:space="preserve"> trading name </w:t>
            </w:r>
            <w:r>
              <w:t xml:space="preserve">or </w:t>
            </w:r>
            <w:r w:rsidRPr="009F5019">
              <w:t xml:space="preserve">carrying out the undesirable or misleading advertising or campaign activity </w:t>
            </w:r>
            <w:r>
              <w:t>despite the</w:t>
            </w:r>
            <w:r w:rsidRPr="009F5019">
              <w:t xml:space="preserve"> Authority</w:t>
            </w:r>
            <w:r>
              <w:t>’s notice</w:t>
            </w:r>
          </w:p>
        </w:tc>
        <w:tc>
          <w:tcPr>
            <w:tcW w:w="1836" w:type="dxa"/>
          </w:tcPr>
          <w:p w14:paraId="0B9C3E5F" w14:textId="74A4B471" w:rsidR="00FD3DA5" w:rsidRPr="008904F2" w:rsidRDefault="00FD3DA5" w:rsidP="00FD3DA5">
            <w:r>
              <w:t>5</w:t>
            </w:r>
            <w:r w:rsidRPr="009F5019">
              <w:t>,000</w:t>
            </w:r>
          </w:p>
        </w:tc>
      </w:tr>
      <w:tr w:rsidR="00FD3DA5" w:rsidRPr="008904F2" w14:paraId="304869C1" w14:textId="77777777" w:rsidTr="005711A1">
        <w:tc>
          <w:tcPr>
            <w:tcW w:w="2192" w:type="dxa"/>
          </w:tcPr>
          <w:p w14:paraId="2E8909D5" w14:textId="6DAB3AE6" w:rsidR="00FD3DA5" w:rsidRPr="008904F2" w:rsidRDefault="00FD3DA5" w:rsidP="00FD3DA5">
            <w:r>
              <w:t>18</w:t>
            </w:r>
          </w:p>
        </w:tc>
        <w:tc>
          <w:tcPr>
            <w:tcW w:w="5322" w:type="dxa"/>
          </w:tcPr>
          <w:p w14:paraId="5A4AF3AA" w14:textId="5CFF8077" w:rsidR="00FD3DA5" w:rsidRPr="008904F2" w:rsidRDefault="00FD3DA5" w:rsidP="00FD3DA5">
            <w:r>
              <w:t xml:space="preserve">Failure not to </w:t>
            </w:r>
            <w:proofErr w:type="gramStart"/>
            <w:r w:rsidRPr="00483EAF">
              <w:rPr>
                <w:bCs/>
              </w:rPr>
              <w:t>supply to</w:t>
            </w:r>
            <w:proofErr w:type="gramEnd"/>
            <w:r w:rsidRPr="00483EAF">
              <w:rPr>
                <w:bCs/>
              </w:rPr>
              <w:t xml:space="preserve"> the </w:t>
            </w:r>
            <w:bookmarkStart w:id="13" w:name="_9kMPCL6ZWu4BC78CNMC0w725M"/>
            <w:r w:rsidRPr="00483EAF">
              <w:rPr>
                <w:bCs/>
              </w:rPr>
              <w:t>Authority</w:t>
            </w:r>
            <w:bookmarkEnd w:id="13"/>
            <w:r w:rsidRPr="00483EAF">
              <w:rPr>
                <w:bCs/>
              </w:rPr>
              <w:t>,</w:t>
            </w:r>
            <w:r>
              <w:rPr>
                <w:bCs/>
              </w:rPr>
              <w:t xml:space="preserve"> </w:t>
            </w:r>
            <w:r w:rsidRPr="00483EAF">
              <w:rPr>
                <w:bCs/>
              </w:rPr>
              <w:t>any changes</w:t>
            </w:r>
            <w:r>
              <w:rPr>
                <w:bCs/>
              </w:rPr>
              <w:t xml:space="preserve"> of </w:t>
            </w:r>
            <w:r w:rsidRPr="00483EAF">
              <w:rPr>
                <w:bCs/>
              </w:rPr>
              <w:t xml:space="preserve">information contained in the </w:t>
            </w:r>
            <w:bookmarkStart w:id="14" w:name="_9kMON5YVt3AB69GgMin0Czy"/>
            <w:r w:rsidRPr="00483EAF">
              <w:rPr>
                <w:bCs/>
              </w:rPr>
              <w:t>Register</w:t>
            </w:r>
            <w:bookmarkEnd w:id="14"/>
          </w:p>
        </w:tc>
        <w:tc>
          <w:tcPr>
            <w:tcW w:w="1836" w:type="dxa"/>
          </w:tcPr>
          <w:p w14:paraId="08729EF2" w14:textId="50F03942" w:rsidR="00FD3DA5" w:rsidRPr="008904F2" w:rsidRDefault="00FD3DA5" w:rsidP="00FD3DA5">
            <w:r>
              <w:t>2,000</w:t>
            </w:r>
          </w:p>
        </w:tc>
      </w:tr>
    </w:tbl>
    <w:p w14:paraId="43435D9D" w14:textId="77777777" w:rsidR="008904F2" w:rsidRPr="008904F2" w:rsidRDefault="008904F2" w:rsidP="008904F2"/>
    <w:p w14:paraId="2797D6D0" w14:textId="77777777" w:rsidR="008C0E59" w:rsidRDefault="008C0E59"/>
    <w:sectPr w:rsidR="008C0E59" w:rsidSect="009226DD">
      <w:head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8A4A5" w14:textId="77777777" w:rsidR="000F3284" w:rsidRDefault="000F3284">
      <w:pPr>
        <w:spacing w:after="0" w:line="240" w:lineRule="auto"/>
      </w:pPr>
      <w:r>
        <w:separator/>
      </w:r>
    </w:p>
  </w:endnote>
  <w:endnote w:type="continuationSeparator" w:id="0">
    <w:p w14:paraId="08D201CE" w14:textId="77777777" w:rsidR="000F3284" w:rsidRDefault="000F3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6329A" w14:textId="77777777" w:rsidR="000F3284" w:rsidRDefault="000F3284">
      <w:pPr>
        <w:spacing w:after="0" w:line="240" w:lineRule="auto"/>
      </w:pPr>
      <w:r>
        <w:separator/>
      </w:r>
    </w:p>
  </w:footnote>
  <w:footnote w:type="continuationSeparator" w:id="0">
    <w:p w14:paraId="7229EF70" w14:textId="77777777" w:rsidR="000F3284" w:rsidRDefault="000F32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B16B5" w14:textId="79097211" w:rsidR="002D3ADD" w:rsidRPr="00F40C82" w:rsidRDefault="002D3ADD" w:rsidP="00F40C82">
    <w:pPr>
      <w:pStyle w:val="Header"/>
      <w:jc w:val="right"/>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56C7D"/>
    <w:multiLevelType w:val="multilevel"/>
    <w:tmpl w:val="271A8CEA"/>
    <w:lvl w:ilvl="0">
      <w:start w:val="2"/>
      <w:numFmt w:val="decimal"/>
      <w:lvlText w:val="%1"/>
      <w:lvlJc w:val="left"/>
      <w:pPr>
        <w:ind w:left="530" w:hanging="530"/>
      </w:pPr>
      <w:rPr>
        <w:rFonts w:hint="default"/>
      </w:rPr>
    </w:lvl>
    <w:lvl w:ilvl="1">
      <w:start w:val="8"/>
      <w:numFmt w:val="decimal"/>
      <w:lvlText w:val="%1.%2"/>
      <w:lvlJc w:val="left"/>
      <w:pPr>
        <w:ind w:left="926" w:hanging="530"/>
      </w:pPr>
      <w:rPr>
        <w:rFonts w:hint="default"/>
      </w:rPr>
    </w:lvl>
    <w:lvl w:ilvl="2">
      <w:start w:val="1"/>
      <w:numFmt w:val="decimal"/>
      <w:lvlText w:val="%1.%2.%3"/>
      <w:lvlJc w:val="left"/>
      <w:pPr>
        <w:ind w:left="1512" w:hanging="720"/>
      </w:pPr>
      <w:rPr>
        <w:rFonts w:hint="default"/>
      </w:rPr>
    </w:lvl>
    <w:lvl w:ilvl="3">
      <w:start w:val="1"/>
      <w:numFmt w:val="lowerLetter"/>
      <w:lvlText w:val="(%4)"/>
      <w:lvlJc w:val="left"/>
      <w:pPr>
        <w:ind w:left="2268" w:hanging="1080"/>
      </w:pPr>
      <w:rPr>
        <w:rFonts w:asciiTheme="minorHAnsi" w:eastAsia="Calibri" w:hAnsiTheme="minorHAnsi" w:cstheme="minorHAnsi"/>
      </w:rPr>
    </w:lvl>
    <w:lvl w:ilvl="4">
      <w:start w:val="1"/>
      <w:numFmt w:val="decimal"/>
      <w:lvlText w:val="(%5)"/>
      <w:lvlJc w:val="left"/>
      <w:pPr>
        <w:ind w:left="2664" w:hanging="1080"/>
      </w:pPr>
      <w:rPr>
        <w:rFonts w:ascii="Arial" w:eastAsia="Arial" w:hAnsi="Arial" w:cs="Arial"/>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4968" w:hanging="1800"/>
      </w:pPr>
      <w:rPr>
        <w:rFonts w:hint="default"/>
      </w:rPr>
    </w:lvl>
  </w:abstractNum>
  <w:abstractNum w:abstractNumId="1" w15:restartNumberingAfterBreak="0">
    <w:nsid w:val="476E016A"/>
    <w:multiLevelType w:val="multilevel"/>
    <w:tmpl w:val="87B0143E"/>
    <w:lvl w:ilvl="0">
      <w:start w:val="2"/>
      <w:numFmt w:val="decimal"/>
      <w:lvlText w:val="%1"/>
      <w:lvlJc w:val="left"/>
      <w:pPr>
        <w:ind w:left="530" w:hanging="530"/>
      </w:pPr>
      <w:rPr>
        <w:rFonts w:hint="default"/>
      </w:rPr>
    </w:lvl>
    <w:lvl w:ilvl="1">
      <w:start w:val="8"/>
      <w:numFmt w:val="decimal"/>
      <w:lvlText w:val="%1.%2"/>
      <w:lvlJc w:val="left"/>
      <w:pPr>
        <w:ind w:left="926" w:hanging="530"/>
      </w:pPr>
      <w:rPr>
        <w:rFonts w:hint="default"/>
      </w:rPr>
    </w:lvl>
    <w:lvl w:ilvl="2">
      <w:start w:val="1"/>
      <w:numFmt w:val="decimal"/>
      <w:lvlText w:val="%1.%2.%3"/>
      <w:lvlJc w:val="left"/>
      <w:pPr>
        <w:ind w:left="1512" w:hanging="720"/>
      </w:pPr>
      <w:rPr>
        <w:rFonts w:hint="default"/>
      </w:rPr>
    </w:lvl>
    <w:lvl w:ilvl="3">
      <w:start w:val="1"/>
      <w:numFmt w:val="lowerLetter"/>
      <w:lvlText w:val="(%4)"/>
      <w:lvlJc w:val="left"/>
      <w:pPr>
        <w:ind w:left="2268" w:hanging="1080"/>
      </w:pPr>
      <w:rPr>
        <w:rFonts w:asciiTheme="minorHAnsi" w:eastAsia="Calibri" w:hAnsiTheme="minorHAnsi" w:cstheme="minorHAnsi"/>
      </w:rPr>
    </w:lvl>
    <w:lvl w:ilvl="4">
      <w:start w:val="1"/>
      <w:numFmt w:val="decimal"/>
      <w:lvlText w:val="(%5)"/>
      <w:lvlJc w:val="left"/>
      <w:pPr>
        <w:ind w:left="2664" w:hanging="1080"/>
      </w:pPr>
      <w:rPr>
        <w:rFonts w:ascii="Arial" w:eastAsia="Arial" w:hAnsi="Arial" w:cs="Arial"/>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4968" w:hanging="1800"/>
      </w:pPr>
      <w:rPr>
        <w:rFonts w:hint="default"/>
      </w:rPr>
    </w:lvl>
  </w:abstractNum>
  <w:abstractNum w:abstractNumId="2" w15:restartNumberingAfterBreak="0">
    <w:nsid w:val="5ABD5EAB"/>
    <w:multiLevelType w:val="multilevel"/>
    <w:tmpl w:val="0894897A"/>
    <w:lvl w:ilvl="0">
      <w:start w:val="2"/>
      <w:numFmt w:val="decimal"/>
      <w:lvlText w:val="%1"/>
      <w:lvlJc w:val="left"/>
      <w:pPr>
        <w:ind w:left="530" w:hanging="530"/>
      </w:pPr>
      <w:rPr>
        <w:rFonts w:hint="default"/>
      </w:rPr>
    </w:lvl>
    <w:lvl w:ilvl="1">
      <w:start w:val="8"/>
      <w:numFmt w:val="decimal"/>
      <w:lvlText w:val="%1.%2"/>
      <w:lvlJc w:val="left"/>
      <w:pPr>
        <w:ind w:left="926" w:hanging="530"/>
      </w:pPr>
      <w:rPr>
        <w:rFonts w:hint="default"/>
      </w:rPr>
    </w:lvl>
    <w:lvl w:ilvl="2">
      <w:start w:val="1"/>
      <w:numFmt w:val="decimal"/>
      <w:lvlText w:val="%1.%2.%3"/>
      <w:lvlJc w:val="left"/>
      <w:pPr>
        <w:ind w:left="1512" w:hanging="720"/>
      </w:pPr>
      <w:rPr>
        <w:rFonts w:hint="default"/>
      </w:rPr>
    </w:lvl>
    <w:lvl w:ilvl="3">
      <w:start w:val="1"/>
      <w:numFmt w:val="lowerLetter"/>
      <w:lvlText w:val="(%4)"/>
      <w:lvlJc w:val="left"/>
      <w:pPr>
        <w:ind w:left="2268" w:hanging="1080"/>
      </w:pPr>
      <w:rPr>
        <w:rFonts w:asciiTheme="minorHAnsi" w:eastAsia="Calibri" w:hAnsiTheme="minorHAnsi" w:cstheme="minorHAnsi"/>
      </w:rPr>
    </w:lvl>
    <w:lvl w:ilvl="4">
      <w:start w:val="1"/>
      <w:numFmt w:val="decimal"/>
      <w:lvlText w:val="(%5)"/>
      <w:lvlJc w:val="left"/>
      <w:pPr>
        <w:ind w:left="2664" w:hanging="1080"/>
      </w:pPr>
      <w:rPr>
        <w:rFonts w:ascii="Arial" w:eastAsia="Arial" w:hAnsi="Arial" w:cs="Arial"/>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4968" w:hanging="1800"/>
      </w:pPr>
      <w:rPr>
        <w:rFonts w:hint="default"/>
      </w:rPr>
    </w:lvl>
  </w:abstractNum>
  <w:abstractNum w:abstractNumId="3" w15:restartNumberingAfterBreak="0">
    <w:nsid w:val="69F10983"/>
    <w:multiLevelType w:val="multilevel"/>
    <w:tmpl w:val="1EA03EBC"/>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rPr>
        <w:rFonts w:ascii="Arial" w:eastAsia="Arial" w:hAnsi="Arial" w:cs="Arial"/>
      </w:rPr>
    </w:lvl>
    <w:lvl w:ilvl="3">
      <w:start w:val="1"/>
      <w:numFmt w:val="lowerLetter"/>
      <w:lvlText w:val="(%4)"/>
      <w:lvlJc w:val="left"/>
      <w:pPr>
        <w:ind w:left="1440" w:hanging="360"/>
      </w:pPr>
      <w:rPr>
        <w:rFonts w:asciiTheme="minorHAnsi" w:eastAsia="Calibri" w:hAnsiTheme="minorHAnsi" w:cstheme="minorHAnsi"/>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7044273E"/>
    <w:multiLevelType w:val="multilevel"/>
    <w:tmpl w:val="3E9EB876"/>
    <w:lvl w:ilvl="0">
      <w:start w:val="2"/>
      <w:numFmt w:val="decimal"/>
      <w:lvlText w:val="%1"/>
      <w:lvlJc w:val="left"/>
      <w:pPr>
        <w:ind w:left="530" w:hanging="530"/>
      </w:pPr>
      <w:rPr>
        <w:rFonts w:hint="default"/>
      </w:rPr>
    </w:lvl>
    <w:lvl w:ilvl="1">
      <w:start w:val="8"/>
      <w:numFmt w:val="decimal"/>
      <w:lvlText w:val="%1.%2"/>
      <w:lvlJc w:val="left"/>
      <w:pPr>
        <w:ind w:left="926" w:hanging="530"/>
      </w:pPr>
      <w:rPr>
        <w:rFonts w:hint="default"/>
      </w:rPr>
    </w:lvl>
    <w:lvl w:ilvl="2">
      <w:start w:val="1"/>
      <w:numFmt w:val="decimal"/>
      <w:lvlText w:val="%1.%2.%3"/>
      <w:lvlJc w:val="left"/>
      <w:pPr>
        <w:ind w:left="1512" w:hanging="720"/>
      </w:pPr>
      <w:rPr>
        <w:rFonts w:hint="default"/>
      </w:rPr>
    </w:lvl>
    <w:lvl w:ilvl="3">
      <w:start w:val="1"/>
      <w:numFmt w:val="lowerLetter"/>
      <w:lvlText w:val="(%4)"/>
      <w:lvlJc w:val="left"/>
      <w:pPr>
        <w:ind w:left="2268" w:hanging="1080"/>
      </w:pPr>
      <w:rPr>
        <w:rFonts w:asciiTheme="minorHAnsi" w:eastAsia="Calibri" w:hAnsiTheme="minorHAnsi" w:cstheme="minorHAnsi"/>
      </w:rPr>
    </w:lvl>
    <w:lvl w:ilvl="4">
      <w:start w:val="1"/>
      <w:numFmt w:val="decimal"/>
      <w:lvlText w:val="(%5)"/>
      <w:lvlJc w:val="left"/>
      <w:pPr>
        <w:ind w:left="2664" w:hanging="1080"/>
      </w:pPr>
      <w:rPr>
        <w:rFonts w:ascii="Arial" w:eastAsia="Arial" w:hAnsi="Arial" w:cs="Arial"/>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4968" w:hanging="1800"/>
      </w:pPr>
      <w:rPr>
        <w:rFonts w:hint="default"/>
      </w:rPr>
    </w:lvl>
  </w:abstractNum>
  <w:num w:numId="1" w16cid:durableId="285476068">
    <w:abstractNumId w:val="4"/>
  </w:num>
  <w:num w:numId="2" w16cid:durableId="2065638379">
    <w:abstractNumId w:val="1"/>
  </w:num>
  <w:num w:numId="3" w16cid:durableId="564224663">
    <w:abstractNumId w:val="2"/>
  </w:num>
  <w:num w:numId="4" w16cid:durableId="1384714852">
    <w:abstractNumId w:val="0"/>
  </w:num>
  <w:num w:numId="5" w16cid:durableId="6212252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4F2"/>
    <w:rsid w:val="000F3284"/>
    <w:rsid w:val="002D3ADD"/>
    <w:rsid w:val="00394809"/>
    <w:rsid w:val="003A1825"/>
    <w:rsid w:val="00403026"/>
    <w:rsid w:val="004C1C97"/>
    <w:rsid w:val="00593A77"/>
    <w:rsid w:val="005B5382"/>
    <w:rsid w:val="00694A8F"/>
    <w:rsid w:val="006D7E96"/>
    <w:rsid w:val="008904F2"/>
    <w:rsid w:val="008C0E59"/>
    <w:rsid w:val="008D4D3F"/>
    <w:rsid w:val="009226DD"/>
    <w:rsid w:val="00962FE5"/>
    <w:rsid w:val="00A64D4B"/>
    <w:rsid w:val="00B4659E"/>
    <w:rsid w:val="00C52D8E"/>
    <w:rsid w:val="00CF4C55"/>
    <w:rsid w:val="00D460E3"/>
    <w:rsid w:val="00D517D7"/>
    <w:rsid w:val="00E24A41"/>
    <w:rsid w:val="00E30B9D"/>
    <w:rsid w:val="00E31146"/>
    <w:rsid w:val="00ED0E6A"/>
    <w:rsid w:val="00F81C3E"/>
    <w:rsid w:val="00FD3D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6EDAB"/>
  <w15:chartTrackingRefBased/>
  <w15:docId w15:val="{7E43AE6A-1816-4BA7-9089-8D8956DBF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904F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904F2"/>
  </w:style>
  <w:style w:type="table" w:styleId="TableGrid">
    <w:name w:val="Table Grid"/>
    <w:basedOn w:val="TableNormal"/>
    <w:uiPriority w:val="59"/>
    <w:rsid w:val="008904F2"/>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D0E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7BE20F43A4FC479EBF8D1E96D41480" ma:contentTypeVersion="4" ma:contentTypeDescription="Create a new document." ma:contentTypeScope="" ma:versionID="d73b03c5ef22ede0e94dbd2d937633cc">
  <xsd:schema xmlns:xsd="http://www.w3.org/2001/XMLSchema" xmlns:xs="http://www.w3.org/2001/XMLSchema" xmlns:p="http://schemas.microsoft.com/office/2006/metadata/properties" xmlns:ns2="17557e2f-5e31-4ca6-9fc3-f182e921e303" targetNamespace="http://schemas.microsoft.com/office/2006/metadata/properties" ma:root="true" ma:fieldsID="34ed460f55ecac9acb7ba8ec983b52cc" ns2:_="">
    <xsd:import namespace="17557e2f-5e31-4ca6-9fc3-f182e921e3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557e2f-5e31-4ca6-9fc3-f182e921e3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58158F-3232-4D6F-98F1-6BC50D2D99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557e2f-5e31-4ca6-9fc3-f182e921e3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5A4AF7-8CD9-4413-B29C-305CD1DC3CEE}">
  <ds:schemaRefs>
    <ds:schemaRef ds:uri="http://schemas.microsoft.com/sharepoint/v3/contenttype/forms"/>
  </ds:schemaRefs>
</ds:datastoreItem>
</file>

<file path=customXml/itemProps3.xml><?xml version="1.0" encoding="utf-8"?>
<ds:datastoreItem xmlns:ds="http://schemas.openxmlformats.org/officeDocument/2006/customXml" ds:itemID="{60905D52-0C0E-4FE9-8C47-8C64B829020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1697</Words>
  <Characters>9677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QFZA</dc:creator>
  <cp:keywords/>
  <dc:description/>
  <cp:lastModifiedBy>Regulation Development</cp:lastModifiedBy>
  <cp:revision>4</cp:revision>
  <dcterms:created xsi:type="dcterms:W3CDTF">2025-06-18T09:24:00Z</dcterms:created>
  <dcterms:modified xsi:type="dcterms:W3CDTF">2025-06-18T09:27:00Z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0x010100CA7BE20F43A4FC479EBF8D1E96D41480</vt:lpwstr>
  </property>
</Properties>
</file>